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Butler Jeffrey B</w:t>
              </w:r>
            </w:hyperlink>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Privia Health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PRVA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20" w:type="dxa"/>
            <w:vAlign w:val="bottom"/>
            <w:gridSpan w:val="4"/>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4"/>
            <w:vMerge w:val="restart"/>
          </w:tcPr>
          <w:p>
            <w:pPr>
              <w:spacing w:after="0"/>
              <w:rPr>
                <w:sz w:val="20"/>
                <w:szCs w:val="20"/>
                <w:color w:val="auto"/>
              </w:rPr>
            </w:pPr>
            <w:r>
              <w:rPr>
                <w:rFonts w:ascii="Arial" w:cs="Arial" w:eastAsia="Arial" w:hAnsi="Arial"/>
                <w:sz w:val="17"/>
                <w:szCs w:val="17"/>
                <w:color w:val="0000FF"/>
                <w:w w:val="99"/>
              </w:rPr>
              <w:t>PRIVIA HEALTH GROUP, INC.</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ind w:left="80"/>
              <w:spacing w:after="0"/>
              <w:rPr>
                <w:sz w:val="20"/>
                <w:szCs w:val="20"/>
                <w:color w:val="auto"/>
              </w:rPr>
            </w:pPr>
            <w:r>
              <w:rPr>
                <w:rFonts w:ascii="Arial" w:cs="Arial" w:eastAsia="Arial" w:hAnsi="Arial"/>
                <w:sz w:val="17"/>
                <w:szCs w:val="17"/>
                <w:color w:val="0000FF"/>
              </w:rPr>
              <w:t>11/23/2021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vMerge w:val="restart"/>
          </w:tcPr>
          <w:p>
            <w:pPr>
              <w:spacing w:after="0"/>
              <w:rPr>
                <w:sz w:val="20"/>
                <w:szCs w:val="20"/>
                <w:color w:val="auto"/>
              </w:rPr>
            </w:pPr>
            <w:r>
              <w:rPr>
                <w:rFonts w:ascii="Arial" w:cs="Arial" w:eastAsia="Arial" w:hAnsi="Arial"/>
                <w:sz w:val="17"/>
                <w:szCs w:val="17"/>
                <w:color w:val="0000FF"/>
                <w:w w:val="97"/>
              </w:rPr>
              <w:t>950 N. GLEBE RD., SUITE 700.</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7"/>
                <w:szCs w:val="17"/>
                <w:color w:val="0000FF"/>
              </w:rPr>
              <w:t>ARLINGTON   VA</w:t>
            </w:r>
          </w:p>
        </w:tc>
        <w:tc>
          <w:tcPr>
            <w:tcW w:w="9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7"/>
                <w:szCs w:val="17"/>
                <w:color w:val="0000FF"/>
              </w:rPr>
              <w:t>22203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20" w:type="dxa"/>
            <w:vAlign w:val="bottom"/>
            <w:gridSpan w:val="4"/>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880" w:type="dxa"/>
            <w:vAlign w:val="bottom"/>
            <w:tcBorders>
              <w:bottom w:val="single" w:sz="8" w:color="2C2C2C"/>
            </w:tcBorders>
            <w:gridSpan w:val="3"/>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5"/>
                <w:szCs w:val="15"/>
                <w:color w:val="auto"/>
              </w:rPr>
            </w:pP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7"/>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5"/>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7"/>
                <w:szCs w:val="17"/>
                <w:color w:val="0000FF"/>
                <w:w w:val="94"/>
              </w:rPr>
              <w:t>Common Stock, $0.01 par value per</w:t>
            </w:r>
          </w:p>
        </w:tc>
        <w:tc>
          <w:tcPr>
            <w:tcW w:w="1460" w:type="dxa"/>
            <w:vAlign w:val="bottom"/>
            <w:gridSpan w:val="5"/>
            <w:vMerge w:val="restart"/>
          </w:tcPr>
          <w:p>
            <w:pPr>
              <w:ind w:left="460"/>
              <w:spacing w:after="0"/>
              <w:rPr>
                <w:sz w:val="20"/>
                <w:szCs w:val="20"/>
                <w:color w:val="auto"/>
              </w:rPr>
            </w:pPr>
            <w:r>
              <w:rPr>
                <w:rFonts w:ascii="Arial" w:cs="Arial" w:eastAsia="Arial" w:hAnsi="Arial"/>
                <w:sz w:val="17"/>
                <w:szCs w:val="17"/>
                <w:color w:val="0000FF"/>
              </w:rPr>
              <w:t>11/23/2021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0000FF"/>
              </w:rPr>
              <w:t>429,877</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27.695</w:t>
            </w:r>
            <w:r>
              <w:rPr>
                <w:rFonts w:ascii="Arial" w:cs="Arial" w:eastAsia="Arial" w:hAnsi="Arial"/>
                <w:sz w:val="22"/>
                <w:szCs w:val="22"/>
                <w:color w:val="008000"/>
                <w:w w:val="93"/>
                <w:vertAlign w:val="superscript"/>
              </w:rPr>
              <w:t>(2)</w:t>
            </w:r>
          </w:p>
        </w:tc>
        <w:tc>
          <w:tcPr>
            <w:tcW w:w="12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4,812,312</w:t>
            </w:r>
            <w:r>
              <w:rPr>
                <w:rFonts w:ascii="Arial" w:cs="Arial" w:eastAsia="Arial" w:hAnsi="Arial"/>
                <w:sz w:val="22"/>
                <w:szCs w:val="22"/>
                <w:color w:val="008000"/>
                <w:vertAlign w:val="superscript"/>
              </w:rPr>
              <w:t>(3)</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880" w:type="dxa"/>
            <w:vAlign w:val="bottom"/>
            <w:tcBorders>
              <w:bottom w:val="single" w:sz="8" w:color="2C2C2C"/>
            </w:tcBorders>
            <w:gridSpan w:val="3"/>
          </w:tcPr>
          <w:p>
            <w:pPr>
              <w:spacing w:after="0"/>
              <w:rPr>
                <w:sz w:val="8"/>
                <w:szCs w:val="8"/>
                <w:color w:val="auto"/>
              </w:rPr>
            </w:pPr>
          </w:p>
        </w:tc>
        <w:tc>
          <w:tcPr>
            <w:tcW w:w="1780" w:type="dxa"/>
            <w:vAlign w:val="bottom"/>
            <w:tcBorders>
              <w:bottom w:val="single" w:sz="8" w:color="2C2C2C"/>
            </w:tcBorders>
            <w:gridSpan w:val="4"/>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20"/>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6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2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sale was effected pursuant to a public secondary offering of shares of common stock, par value $0.01 per share (the "Common Stock"), of Privia Health Group, Inc. on November 23, 2021.</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represents the $29.00 secondary public offering price per share of Common Stock of Privia Health Group, Inc., less the underwriting discount of $1.305 per share.</w:t>
      </w:r>
    </w:p>
    <w:p>
      <w:pPr>
        <w:spacing w:after="0" w:line="50"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5,234,580 shares of Common Stock of Privia Health Group, Inc. received by the reporting person in a pro rata distribution of Common Stock by Brighton Health Group Holdings, Inc. to its members on May 11, 2021 less the number of shares sold as reflected in this Form 4.</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Thomas Bartrum,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11/26/2021</w:t>
            </w:r>
          </w:p>
        </w:tc>
        <w:tc>
          <w:tcPr>
            <w:tcW w:w="0" w:type="dxa"/>
            <w:vAlign w:val="bottom"/>
          </w:tcPr>
          <w:p>
            <w:pPr>
              <w:spacing w:after="0"/>
              <w:rPr>
                <w:sz w:val="1"/>
                <w:szCs w:val="1"/>
                <w:color w:val="auto"/>
              </w:rPr>
            </w:pPr>
          </w:p>
        </w:tc>
      </w:tr>
      <w:tr>
        <w:trPr>
          <w:trHeight w:val="87"/>
        </w:trPr>
        <w:tc>
          <w:tcPr>
            <w:tcW w:w="162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20" w:type="dxa"/>
            <w:vAlign w:val="bottom"/>
            <w:tcBorders>
              <w:top w:val="single" w:sz="8" w:color="auto"/>
            </w:tcBorders>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9428" TargetMode="External"/><Relationship Id="rId13"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2021-11-26T17:13:07Z</dcterms:created>
  <dcterms:modified xsi:type="dcterms:W3CDTF">2021-11-26T17:13:07Z</dcterms:modified>
</cp:coreProperties>
</file>