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7034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03453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Morris Matthew Shawn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Privia Health Group,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PRVA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Borders>
              <w:bottom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06/26/2026</w:t>
            </w:r>
          </w:p>
        </w:tc>
        <w:tc>
          <w:tcPr>
            <w:tcW w:w="16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PRIVIA HEALTH GROUP, INC.</w:t>
            </w:r>
          </w:p>
        </w:tc>
        <w:tc>
          <w:tcPr>
            <w:tcW w:w="1200" w:type="dxa"/>
            <w:vAlign w:val="bottom"/>
          </w:tcPr>
          <w:p>
            <w:pPr>
              <w:spacing w:after="0"/>
              <w:rPr>
                <w:sz w:val="10"/>
                <w:szCs w:val="10"/>
                <w:color w:val="auto"/>
              </w:rPr>
            </w:pPr>
          </w:p>
        </w:tc>
        <w:tc>
          <w:tcPr>
            <w:tcW w:w="224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950 N. GLEBE RD., SUITE 700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ARLINGTON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22203</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jc w:val="center"/>
              <w:ind w:right="34"/>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00" w:type="dxa"/>
            <w:vAlign w:val="bottom"/>
            <w:tcBorders>
              <w:bottom w:val="single" w:sz="8" w:color="2C2C2C"/>
            </w:tcBorders>
            <w:gridSpan w:val="2"/>
          </w:tcPr>
          <w:p>
            <w:pPr>
              <w:jc w:val="center"/>
              <w:ind w:left="6"/>
              <w:spacing w:after="0"/>
              <w:rPr>
                <w:sz w:val="20"/>
                <w:szCs w:val="20"/>
                <w:color w:val="auto"/>
              </w:rPr>
            </w:pPr>
            <w:r>
              <w:rPr>
                <w:rFonts w:ascii="Times New Roman" w:cs="Times New Roman" w:eastAsia="Times New Roman" w:hAnsi="Times New Roman"/>
                <w:sz w:val="17"/>
                <w:szCs w:val="17"/>
                <w:color w:val="0000FF"/>
                <w:w w:val="98"/>
              </w:rPr>
              <w:t>06/26/2026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88,110</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164,761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00" w:type="dxa"/>
            <w:vAlign w:val="bottom"/>
            <w:tcBorders>
              <w:bottom w:val="single" w:sz="8" w:color="2C2C2C"/>
            </w:tcBorders>
            <w:gridSpan w:val="2"/>
          </w:tcPr>
          <w:p>
            <w:pPr>
              <w:jc w:val="center"/>
              <w:ind w:left="6"/>
              <w:spacing w:after="0"/>
              <w:rPr>
                <w:sz w:val="20"/>
                <w:szCs w:val="20"/>
                <w:color w:val="auto"/>
              </w:rPr>
            </w:pPr>
            <w:r>
              <w:rPr>
                <w:rFonts w:ascii="Times New Roman" w:cs="Times New Roman" w:eastAsia="Times New Roman" w:hAnsi="Times New Roman"/>
                <w:sz w:val="17"/>
                <w:szCs w:val="17"/>
                <w:color w:val="0000FF"/>
                <w:w w:val="98"/>
              </w:rPr>
              <w:t>06/26/2026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88,110</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25.33</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76,651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00" w:type="dxa"/>
            <w:vAlign w:val="bottom"/>
            <w:tcBorders>
              <w:bottom w:val="single" w:sz="8" w:color="2C2C2C"/>
            </w:tcBorders>
            <w:gridSpan w:val="2"/>
          </w:tcPr>
          <w:p>
            <w:pPr>
              <w:jc w:val="center"/>
              <w:ind w:left="6"/>
              <w:spacing w:after="0"/>
              <w:rPr>
                <w:sz w:val="20"/>
                <w:szCs w:val="20"/>
                <w:color w:val="auto"/>
              </w:rPr>
            </w:pPr>
            <w:r>
              <w:rPr>
                <w:rFonts w:ascii="Times New Roman" w:cs="Times New Roman" w:eastAsia="Times New Roman" w:hAnsi="Times New Roman"/>
                <w:sz w:val="17"/>
                <w:szCs w:val="17"/>
                <w:color w:val="0000FF"/>
                <w:w w:val="98"/>
              </w:rPr>
              <w:t>06/29/2026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63,212</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139,863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00" w:type="dxa"/>
            <w:vAlign w:val="bottom"/>
            <w:tcBorders>
              <w:bottom w:val="single" w:sz="8" w:color="2C2C2C"/>
            </w:tcBorders>
            <w:gridSpan w:val="2"/>
          </w:tcPr>
          <w:p>
            <w:pPr>
              <w:jc w:val="center"/>
              <w:ind w:left="6"/>
              <w:spacing w:after="0"/>
              <w:rPr>
                <w:sz w:val="20"/>
                <w:szCs w:val="20"/>
                <w:color w:val="auto"/>
              </w:rPr>
            </w:pPr>
            <w:r>
              <w:rPr>
                <w:rFonts w:ascii="Times New Roman" w:cs="Times New Roman" w:eastAsia="Times New Roman" w:hAnsi="Times New Roman"/>
                <w:sz w:val="17"/>
                <w:szCs w:val="17"/>
                <w:color w:val="0000FF"/>
                <w:w w:val="98"/>
              </w:rPr>
              <w:t>06/29/2026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63,212</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25.33</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76,651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12,487</w:t>
            </w:r>
          </w:p>
        </w:tc>
        <w:tc>
          <w:tcPr>
            <w:tcW w:w="280" w:type="dxa"/>
            <w:vAlign w:val="bottom"/>
          </w:tcPr>
          <w:p>
            <w:pPr>
              <w:spacing w:after="0"/>
              <w:rPr>
                <w:sz w:val="17"/>
                <w:szCs w:val="17"/>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Emerald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60" w:type="dxa"/>
            <w:vAlign w:val="bottom"/>
            <w:gridSpan w:val="4"/>
            <w:vMerge w:val="continue"/>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060" w:type="dxa"/>
            <w:vAlign w:val="bottom"/>
            <w:tcBorders>
              <w:bottom w:val="single" w:sz="8" w:color="2C2C2C"/>
            </w:tcBorders>
            <w:gridSpan w:val="4"/>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11,998</w:t>
            </w:r>
          </w:p>
        </w:tc>
        <w:tc>
          <w:tcPr>
            <w:tcW w:w="280" w:type="dxa"/>
            <w:vAlign w:val="bottom"/>
          </w:tcPr>
          <w:p>
            <w:pPr>
              <w:spacing w:after="0"/>
              <w:rPr>
                <w:sz w:val="22"/>
                <w:szCs w:val="22"/>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gridSpan w:val="6"/>
          </w:tcPr>
          <w:p>
            <w:pPr>
              <w:spacing w:after="0"/>
              <w:rPr>
                <w:sz w:val="8"/>
                <w:szCs w:val="8"/>
                <w:color w:val="auto"/>
              </w:rPr>
            </w:pPr>
          </w:p>
        </w:tc>
        <w:tc>
          <w:tcPr>
            <w:tcW w:w="264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40" w:type="dxa"/>
            <w:vAlign w:val="bottom"/>
            <w:gridSpan w:val="10"/>
          </w:tcPr>
          <w:p>
            <w:pPr>
              <w:jc w:val="center"/>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restart"/>
          </w:tcPr>
          <w:p>
            <w:pPr>
              <w:jc w:val="center"/>
              <w:ind w:right="14"/>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vMerge w:val="restart"/>
          </w:tcPr>
          <w:p>
            <w:pPr>
              <w:ind w:left="80"/>
              <w:spacing w:after="0" w:line="220"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88,110</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w:t>
            </w:r>
          </w:p>
        </w:tc>
        <w:tc>
          <w:tcPr>
            <w:tcW w:w="1040" w:type="dxa"/>
            <w:vAlign w:val="bottom"/>
            <w:vMerge w:val="restart"/>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06/26/2026</w:t>
            </w: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restart"/>
          </w:tcPr>
          <w:p>
            <w:pPr>
              <w:ind w:left="400"/>
              <w:spacing w:after="0" w:line="142" w:lineRule="exact"/>
              <w:rPr>
                <w:sz w:val="20"/>
                <w:szCs w:val="20"/>
                <w:color w:val="auto"/>
              </w:rPr>
            </w:pPr>
            <w:r>
              <w:rPr>
                <w:rFonts w:ascii="Times New Roman" w:cs="Times New Roman" w:eastAsia="Times New Roman" w:hAnsi="Times New Roman"/>
                <w:sz w:val="13"/>
                <w:szCs w:val="13"/>
                <w:color w:val="0000FF"/>
              </w:rPr>
              <w:t>88,110</w:t>
            </w:r>
          </w:p>
        </w:tc>
        <w:tc>
          <w:tcPr>
            <w:tcW w:w="780" w:type="dxa"/>
            <w:vAlign w:val="bottom"/>
            <w:gridSpan w:val="2"/>
            <w:vMerge w:val="continue"/>
          </w:tcPr>
          <w:p>
            <w:pPr>
              <w:spacing w:after="0"/>
              <w:rPr>
                <w:sz w:val="5"/>
                <w:szCs w:val="5"/>
                <w:color w:val="auto"/>
              </w:rPr>
            </w:pPr>
          </w:p>
        </w:tc>
        <w:tc>
          <w:tcPr>
            <w:tcW w:w="70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08/27/2033</w:t>
            </w:r>
          </w:p>
        </w:tc>
        <w:tc>
          <w:tcPr>
            <w:tcW w:w="6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3,586,091</w:t>
            </w: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$0.01 per</w:t>
            </w: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4"/>
              </w:rPr>
              <w:t>share</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restart"/>
          </w:tcPr>
          <w:p>
            <w:pPr>
              <w:jc w:val="center"/>
              <w:ind w:right="14"/>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63,212</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06/29/2026</w:t>
            </w: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63,212</w:t>
            </w:r>
          </w:p>
        </w:tc>
        <w:tc>
          <w:tcPr>
            <w:tcW w:w="780" w:type="dxa"/>
            <w:vAlign w:val="bottom"/>
            <w:gridSpan w:val="2"/>
            <w:vMerge w:val="continue"/>
          </w:tcPr>
          <w:p>
            <w:pPr>
              <w:spacing w:after="0"/>
              <w:rPr>
                <w:sz w:val="5"/>
                <w:szCs w:val="5"/>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08/27/2033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3,522,879</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28"/>
        </w:trPr>
        <w:tc>
          <w:tcPr>
            <w:tcW w:w="3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Purchase)</w:t>
            </w:r>
          </w:p>
        </w:tc>
        <w:tc>
          <w:tcPr>
            <w:tcW w:w="3620" w:type="dxa"/>
            <w:vAlign w:val="bottom"/>
          </w:tcPr>
          <w:p>
            <w:pPr>
              <w:jc w:val="center"/>
              <w:ind w:left="3056"/>
              <w:spacing w:after="0" w:line="128" w:lineRule="exact"/>
              <w:rPr>
                <w:sz w:val="20"/>
                <w:szCs w:val="20"/>
                <w:color w:val="auto"/>
              </w:rPr>
            </w:pPr>
            <w:r>
              <w:rPr>
                <w:rFonts w:ascii="Times New Roman" w:cs="Times New Roman" w:eastAsia="Times New Roman" w:hAnsi="Times New Roman"/>
                <w:sz w:val="13"/>
                <w:szCs w:val="13"/>
                <w:color w:val="0000FF"/>
              </w:rPr>
              <w:t>$0.01 per</w:t>
            </w:r>
          </w:p>
        </w:tc>
        <w:tc>
          <w:tcPr>
            <w:tcW w:w="0" w:type="dxa"/>
            <w:vAlign w:val="bottom"/>
          </w:tcPr>
          <w:p>
            <w:pPr>
              <w:spacing w:after="0"/>
              <w:rPr>
                <w:sz w:val="1"/>
                <w:szCs w:val="1"/>
                <w:color w:val="auto"/>
              </w:rPr>
            </w:pPr>
          </w:p>
        </w:tc>
      </w:tr>
      <w:tr>
        <w:trPr>
          <w:trHeight w:val="90"/>
        </w:trPr>
        <w:tc>
          <w:tcPr>
            <w:tcW w:w="3620" w:type="dxa"/>
            <w:vAlign w:val="bottom"/>
            <w:vMerge w:val="continue"/>
          </w:tcPr>
          <w:p>
            <w:pPr>
              <w:spacing w:after="0"/>
              <w:rPr>
                <w:sz w:val="7"/>
                <w:szCs w:val="7"/>
                <w:color w:val="auto"/>
              </w:rPr>
            </w:pPr>
          </w:p>
        </w:tc>
        <w:tc>
          <w:tcPr>
            <w:tcW w:w="3620" w:type="dxa"/>
            <w:vAlign w:val="bottom"/>
            <w:vMerge w:val="restart"/>
          </w:tcPr>
          <w:p>
            <w:pPr>
              <w:jc w:val="center"/>
              <w:ind w:left="3056"/>
              <w:spacing w:after="0"/>
              <w:rPr>
                <w:sz w:val="20"/>
                <w:szCs w:val="20"/>
                <w:color w:val="auto"/>
              </w:rPr>
            </w:pPr>
            <w:r>
              <w:rPr>
                <w:rFonts w:ascii="Times New Roman" w:cs="Times New Roman" w:eastAsia="Times New Roman" w:hAnsi="Times New Roman"/>
                <w:sz w:val="13"/>
                <w:szCs w:val="13"/>
                <w:color w:val="0000FF"/>
                <w:w w:val="94"/>
              </w:rPr>
              <w:t>share</w:t>
            </w:r>
          </w:p>
        </w:tc>
        <w:tc>
          <w:tcPr>
            <w:tcW w:w="0" w:type="dxa"/>
            <w:vAlign w:val="bottom"/>
          </w:tcPr>
          <w:p>
            <w:pPr>
              <w:spacing w:after="0"/>
              <w:rPr>
                <w:sz w:val="1"/>
                <w:szCs w:val="1"/>
                <w:color w:val="auto"/>
              </w:rPr>
            </w:pPr>
          </w:p>
        </w:tc>
      </w:tr>
      <w:tr>
        <w:trPr>
          <w:trHeight w:val="77"/>
        </w:trPr>
        <w:tc>
          <w:tcPr>
            <w:tcW w:w="3620" w:type="dxa"/>
            <w:vAlign w:val="bottom"/>
          </w:tcPr>
          <w:p>
            <w:pPr>
              <w:spacing w:after="0"/>
              <w:rPr>
                <w:sz w:val="6"/>
                <w:szCs w:val="6"/>
                <w:color w:val="auto"/>
              </w:rPr>
            </w:pPr>
          </w:p>
        </w:tc>
        <w:tc>
          <w:tcPr>
            <w:tcW w:w="3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previously adopted by the Reporting Person.</w:t>
      </w:r>
    </w:p>
    <w:p>
      <w:pPr>
        <w:spacing w:after="0" w:line="43" w:lineRule="exact"/>
        <w:rPr>
          <w:rFonts w:ascii="Times New Roman" w:cs="Times New Roman" w:eastAsia="Times New Roman" w:hAnsi="Times New Roman"/>
          <w:sz w:val="13"/>
          <w:szCs w:val="13"/>
          <w:color w:val="008000"/>
        </w:rPr>
      </w:pPr>
    </w:p>
    <w:p>
      <w:pPr>
        <w:jc w:val="both"/>
        <w:ind w:left="40" w:right="4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$24.98 to $25.70 per share. The reporting person undertakes to provide to Privia Health Group, Inc., any security holder of Privia Health Group, Inc. or the staff of the Securities and Exchange Commission, upon request, full information regarding the number of shares sold at each separate price within the range set forth herein.</w:t>
      </w:r>
    </w:p>
    <w:p>
      <w:pPr>
        <w:spacing w:after="0" w:line="26" w:lineRule="exact"/>
        <w:rPr>
          <w:rFonts w:ascii="Times New Roman" w:cs="Times New Roman" w:eastAsia="Times New Roman" w:hAnsi="Times New Roman"/>
          <w:sz w:val="13"/>
          <w:szCs w:val="13"/>
          <w:color w:val="008000"/>
        </w:rPr>
      </w:pPr>
    </w:p>
    <w:p>
      <w:pPr>
        <w:jc w:val="both"/>
        <w:ind w:left="40" w:right="4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$25.14 to $25.67 per share. The reporting person undertakes to provide to Privia Health Group, Inc., any security holder of Privia Health Group, Inc. or the staff of the Securities and Exchange Commission, upon request, full information regarding the number of shares sold at each separate price within the range set forth herein.</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of the stock options are fully vested and exercisable.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Anita Beth Adams, as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5"/>
              </w:rPr>
              <w:t>06/30/2026</w:t>
            </w:r>
          </w:p>
        </w:tc>
        <w:tc>
          <w:tcPr>
            <w:tcW w:w="0" w:type="dxa"/>
            <w:vAlign w:val="bottom"/>
          </w:tcPr>
          <w:p>
            <w:pPr>
              <w:spacing w:after="0"/>
              <w:rPr>
                <w:sz w:val="1"/>
                <w:szCs w:val="1"/>
                <w:color w:val="auto"/>
              </w:rPr>
            </w:pPr>
          </w:p>
        </w:tc>
      </w:tr>
      <w:tr>
        <w:trPr>
          <w:trHeight w:val="88"/>
        </w:trPr>
        <w:tc>
          <w:tcPr>
            <w:tcW w:w="104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620" w:type="dxa"/>
            <w:vAlign w:val="bottom"/>
            <w:tcBorders>
              <w:top w:val="single" w:sz="8" w:color="auto"/>
              <w:bottom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040" w:type="dxa"/>
            <w:vAlign w:val="bottom"/>
            <w:tcBorders>
              <w:bottom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ectPr>
          <w:pgSz w:w="11900" w:h="16838" w:orient="portrait"/>
          <w:cols w:equalWidth="0" w:num="1">
            <w:col w:w="11080"/>
          </w:cols>
          <w:pgMar w:left="460" w:top="217"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01958" TargetMode="External"/><Relationship Id="rId14" Type="http://schemas.openxmlformats.org/officeDocument/2006/relationships/hyperlink" Target="http://www.sec.gov/cgi-bin/browse-edgar?action=getcompany&amp;CIK=0001759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2026-06-30T15:22:58Z</dcterms:created>
  <dcterms:modified xsi:type="dcterms:W3CDTF">2026-06-30T15:22:58Z</dcterms:modified>
</cp:coreProperties>
</file>