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507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Morris Matthew Shawn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PRIVIA HEALTH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Privia Health Group,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PRVA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04/28/2021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389"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40" w:type="dxa"/>
            <w:vAlign w:val="bottom"/>
          </w:tcPr>
          <w:p>
            <w:pPr>
              <w:ind w:left="140"/>
              <w:spacing w:after="0"/>
              <w:rPr>
                <w:sz w:val="20"/>
                <w:szCs w:val="20"/>
                <w:color w:val="auto"/>
              </w:rPr>
            </w:pPr>
            <w:r>
              <w:rPr>
                <w:rFonts w:ascii="Arial" w:cs="Arial" w:eastAsia="Arial" w:hAnsi="Arial"/>
                <w:sz w:val="17"/>
                <w:szCs w:val="17"/>
                <w:color w:val="0000FF"/>
              </w:rPr>
              <w:t>VA</w:t>
            </w:r>
          </w:p>
        </w:tc>
        <w:tc>
          <w:tcPr>
            <w:tcW w:w="1620" w:type="dxa"/>
            <w:vAlign w:val="bottom"/>
          </w:tcPr>
          <w:p>
            <w:pPr>
              <w:ind w:left="420"/>
              <w:spacing w:after="0"/>
              <w:rPr>
                <w:sz w:val="20"/>
                <w:szCs w:val="20"/>
                <w:color w:val="auto"/>
              </w:rPr>
            </w:pPr>
            <w:r>
              <w:rPr>
                <w:rFonts w:ascii="Arial" w:cs="Arial" w:eastAsia="Arial" w:hAnsi="Arial"/>
                <w:sz w:val="17"/>
                <w:szCs w:val="17"/>
                <w:color w:val="0000FF"/>
              </w:rPr>
              <w:t>22203</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r>
              <w:rPr>
                <w:rFonts w:ascii="Arial" w:cs="Arial" w:eastAsia="Arial" w:hAnsi="Arial"/>
                <w:sz w:val="21"/>
                <w:szCs w:val="21"/>
                <w:color w:val="008000"/>
                <w:w w:val="93"/>
                <w:vertAlign w:val="superscript"/>
              </w:rPr>
              <w:t>(1)</w:t>
            </w:r>
          </w:p>
        </w:tc>
        <w:tc>
          <w:tcPr>
            <w:tcW w:w="1100" w:type="dxa"/>
            <w:vAlign w:val="bottom"/>
            <w:tcBorders>
              <w:bottom w:val="single" w:sz="8" w:color="2C2C2C"/>
            </w:tcBorders>
            <w:gridSpan w:val="2"/>
          </w:tcPr>
          <w:p>
            <w:pPr>
              <w:jc w:val="right"/>
              <w:ind w:right="102"/>
              <w:spacing w:after="0"/>
              <w:rPr>
                <w:sz w:val="20"/>
                <w:szCs w:val="20"/>
                <w:color w:val="auto"/>
              </w:rPr>
            </w:pPr>
            <w:r>
              <w:rPr>
                <w:rFonts w:ascii="Arial" w:cs="Arial" w:eastAsia="Arial" w:hAnsi="Arial"/>
                <w:sz w:val="17"/>
                <w:szCs w:val="17"/>
                <w:color w:val="0000FF"/>
              </w:rPr>
              <w:t>04/28/2021</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w w:val="97"/>
              </w:rPr>
              <w:t>121,739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121,739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12"/>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04/28/2021</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rPr>
              <w:t>A</w:t>
            </w:r>
          </w:p>
        </w:tc>
        <w:tc>
          <w:tcPr>
            <w:tcW w:w="660" w:type="dxa"/>
            <w:vAlign w:val="bottom"/>
          </w:tcPr>
          <w:p>
            <w:pPr>
              <w:ind w:left="120"/>
              <w:spacing w:after="0"/>
              <w:rPr>
                <w:sz w:val="20"/>
                <w:szCs w:val="20"/>
                <w:color w:val="auto"/>
              </w:rPr>
            </w:pPr>
            <w:r>
              <w:rPr>
                <w:rFonts w:ascii="Arial" w:cs="Arial" w:eastAsia="Arial" w:hAnsi="Arial"/>
                <w:sz w:val="13"/>
                <w:szCs w:val="13"/>
                <w:color w:val="0000FF"/>
              </w:rPr>
              <w:t>546,851</w:t>
            </w:r>
          </w:p>
        </w:tc>
        <w:tc>
          <w:tcPr>
            <w:tcW w:w="28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7"/>
                <w:szCs w:val="17"/>
                <w:color w:val="auto"/>
              </w:rPr>
            </w:pPr>
          </w:p>
        </w:tc>
        <w:tc>
          <w:tcPr>
            <w:tcW w:w="480" w:type="dxa"/>
            <w:vAlign w:val="bottom"/>
          </w:tcPr>
          <w:p>
            <w:pPr>
              <w:jc w:val="right"/>
              <w:ind w:right="238"/>
              <w:spacing w:after="0"/>
              <w:rPr>
                <w:sz w:val="20"/>
                <w:szCs w:val="20"/>
                <w:color w:val="auto"/>
              </w:rPr>
            </w:pPr>
            <w:r>
              <w:rPr>
                <w:rFonts w:ascii="Arial" w:cs="Arial" w:eastAsia="Arial" w:hAnsi="Arial"/>
                <w:sz w:val="11"/>
                <w:szCs w:val="11"/>
                <w:color w:val="008000"/>
              </w:rPr>
              <w:t>(2)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546,851</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160"/>
              <w:spacing w:after="0"/>
              <w:rPr>
                <w:sz w:val="20"/>
                <w:szCs w:val="20"/>
                <w:color w:val="auto"/>
              </w:rPr>
            </w:pPr>
            <w:r>
              <w:rPr>
                <w:rFonts w:ascii="Arial" w:cs="Arial" w:eastAsia="Arial" w:hAnsi="Arial"/>
                <w:sz w:val="13"/>
                <w:szCs w:val="13"/>
                <w:color w:val="0000FF"/>
              </w:rPr>
              <w:t>6,456,961</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Purchase)</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restricted stock units granted under the Issuer's 2021 Omnibus Incentive Plan that will vest in substantially equal annual installments on the second, third and fourth anniversaries of the grant date.</w:t>
      </w:r>
    </w:p>
    <w:p>
      <w:pPr>
        <w:spacing w:after="0" w:line="64" w:lineRule="exact"/>
        <w:rPr>
          <w:rFonts w:ascii="Arial" w:cs="Arial" w:eastAsia="Arial" w:hAnsi="Arial"/>
          <w:sz w:val="11"/>
          <w:szCs w:val="11"/>
          <w:color w:val="008000"/>
        </w:rPr>
      </w:pPr>
    </w:p>
    <w:p>
      <w:pPr>
        <w:ind w:left="40" w:right="2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under the Issuer's 2021 Omnibus Incentive Plan that will vest in substantially equal annual installments on the second, third and fourth anniversaries of the grant date. The stock options will expire on the tenth anniversary of the grant date.</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Thomas Bartrum, EVP,</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04/30/2021</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General Counsel</w:t>
            </w:r>
          </w:p>
        </w:tc>
        <w:tc>
          <w:tcPr>
            <w:tcW w:w="4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4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1958" TargetMode="External"/><Relationship Id="rId13"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2021-04-30T20:44:14Z</dcterms:created>
  <dcterms:modified xsi:type="dcterms:W3CDTF">2021-04-30T20:44:14Z</dcterms:modified>
</cp:coreProperties>
</file>