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Privia Health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Cory Reno</w:t>
              <w:br/>
              <w:t>1316 Adams St., Suite 400</w:t>
              <w:br/>
              <w:t>Nashville, TN, 37208</w:t>
              <w:br/>
              <w:t>1.615.568.7618</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Puma Growth Holdings, LLC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6,472,513.00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6,472,513.00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6,472,513.00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Rubicon Founders OP GP, LP</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6,472,513.00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6,472,513.00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6,472,513.00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Consists of shares owned by Puma Growth Holdings, LLC, of which Rubicon Founders OP GP, LP is the manager.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Rubicon Founders OP GP 2 LLC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6,472,513.00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6,472,513.00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6,472,513.00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EP, 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Consists of shares owned by Puma Growth Holdings, LLC. Rubicon Founders OP GP, LP, of which Rubicon Founders OP GP 2, LLC is the general partner, is the manager of Puma Growth Holdings, LLC.</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Rubicon Founders LLC</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6,472,513.00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6,472,513.00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6,472,513.00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Consists of shares owned by Puma Growth Holdings, LLC. Rubicon Founders OP GP 2, LLC, of which Rubicon Founders LLC is the sole member, is the general partner of Rubicon Founders OP GP, LP, which is the manager of Puma Growth Holdings, LLC.</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Adam Boehler</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6,472,513.00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6,472,513.00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6,472,513.00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5.07 %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(1) Consists of shares owned by Puma Growth Holdings, LLC. Rubicon Founders LLC, of which Mr. Boehler is the managing member, is the sole member of Rubicon Founders OP GP 2, LLC, which is the general partner of Rubicon Founders OP GP, LP, which is the manager of Puma Growth Holdings, LLC.</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37"/>
        <w:gridCol w:w="9068"/>
      </w:tblGrid>
      <w:tr>
        <w:trPr/>
        <w:tc>
          <w:tcPr>
            <w:tcW w:w="1137" w:type="dxa"/>
            <w:tcBorders/>
            <w:vAlign w:val="center"/>
          </w:tcPr>
          <w:p>
            <w:pPr>
              <w:pStyle w:val="TableContents"/>
              <w:bidi w:val="0"/>
              <w:spacing w:before="0" w:after="283"/>
              <w:jc w:val="left"/>
              <w:rPr/>
            </w:pPr>
            <w:r>
              <w:rPr/>
              <w:t>Item 1.</w:t>
            </w:r>
          </w:p>
        </w:tc>
        <w:tc>
          <w:tcPr>
            <w:tcW w:w="9068" w:type="dxa"/>
            <w:tcBorders/>
            <w:vAlign w:val="center"/>
          </w:tcPr>
          <w:p>
            <w:pPr>
              <w:pStyle w:val="TableContents"/>
              <w:bidi w:val="0"/>
              <w:spacing w:before="0" w:after="283"/>
              <w:jc w:val="left"/>
              <w:rPr/>
            </w:pPr>
            <w:r>
              <w:rPr/>
              <w:t>Security and Issuer</w:t>
            </w:r>
          </w:p>
        </w:tc>
      </w:tr>
      <w:tr>
        <w:trPr/>
        <w:tc>
          <w:tcPr>
            <w:tcW w:w="1137" w:type="dxa"/>
            <w:tcBorders/>
            <w:vAlign w:val="center"/>
          </w:tcPr>
          <w:p>
            <w:pPr>
              <w:pStyle w:val="TableContents"/>
              <w:bidi w:val="0"/>
              <w:spacing w:before="0" w:after="283"/>
              <w:jc w:val="left"/>
              <w:rPr/>
            </w:pPr>
            <w:r>
              <w:rPr/>
              <w:t>(a)</w:t>
            </w:r>
          </w:p>
        </w:tc>
        <w:tc>
          <w:tcPr>
            <w:tcW w:w="906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7" w:type="dxa"/>
            <w:tcBorders/>
            <w:vAlign w:val="center"/>
          </w:tcPr>
          <w:p>
            <w:pPr>
              <w:pStyle w:val="TableContents"/>
              <w:bidi w:val="0"/>
              <w:spacing w:before="0" w:after="283"/>
              <w:jc w:val="left"/>
              <w:rPr/>
            </w:pPr>
            <w:r>
              <w:rPr/>
              <w:t>(b)</w:t>
            </w:r>
          </w:p>
        </w:tc>
        <w:tc>
          <w:tcPr>
            <w:tcW w:w="9068" w:type="dxa"/>
            <w:tcBorders/>
            <w:vAlign w:val="center"/>
          </w:tcPr>
          <w:p>
            <w:pPr>
              <w:pStyle w:val="TableContents"/>
              <w:bidi w:val="0"/>
              <w:jc w:val="left"/>
              <w:rPr/>
            </w:pPr>
            <w:r>
              <w:rPr/>
              <w:t xml:space="preserve">Name of Issuer: </w:t>
            </w:r>
          </w:p>
          <w:p>
            <w:pPr>
              <w:pStyle w:val="TableContents"/>
              <w:bidi w:val="0"/>
              <w:spacing w:before="0" w:after="0"/>
              <w:jc w:val="left"/>
              <w:rPr/>
            </w:pPr>
            <w:r>
              <w:rPr/>
              <w:t>Privia Health Group, Inc.</w:t>
            </w:r>
          </w:p>
        </w:tc>
      </w:tr>
      <w:tr>
        <w:trPr/>
        <w:tc>
          <w:tcPr>
            <w:tcW w:w="1137" w:type="dxa"/>
            <w:tcBorders/>
            <w:vAlign w:val="center"/>
          </w:tcPr>
          <w:p>
            <w:pPr>
              <w:pStyle w:val="TableContents"/>
              <w:bidi w:val="0"/>
              <w:spacing w:before="0" w:after="283"/>
              <w:jc w:val="left"/>
              <w:rPr/>
            </w:pPr>
            <w:r>
              <w:rPr/>
              <w:t>(c)</w:t>
            </w:r>
          </w:p>
        </w:tc>
        <w:tc>
          <w:tcPr>
            <w:tcW w:w="906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950 N. Glebe Rd., Suite 700, Arlington, VIRGINIA , 22203.</w:t>
            </w:r>
          </w:p>
        </w:tc>
      </w:tr>
      <w:tr>
        <w:trPr/>
        <w:tc>
          <w:tcPr>
            <w:tcW w:w="1137" w:type="dxa"/>
            <w:tcBorders/>
            <w:vAlign w:val="center"/>
          </w:tcPr>
          <w:p>
            <w:pPr>
              <w:pStyle w:val="TableContents"/>
              <w:bidi w:val="0"/>
              <w:spacing w:before="0" w:after="283"/>
              <w:jc w:val="left"/>
              <w:rPr/>
            </w:pPr>
            <w:r>
              <w:rPr/>
              <w:t>Item 2.</w:t>
            </w:r>
          </w:p>
        </w:tc>
        <w:tc>
          <w:tcPr>
            <w:tcW w:w="9068" w:type="dxa"/>
            <w:tcBorders/>
            <w:vAlign w:val="center"/>
          </w:tcPr>
          <w:p>
            <w:pPr>
              <w:pStyle w:val="TableContents"/>
              <w:bidi w:val="0"/>
              <w:spacing w:before="0" w:after="283"/>
              <w:jc w:val="left"/>
              <w:rPr/>
            </w:pPr>
            <w:r>
              <w:rPr/>
              <w:t>Identity and Background</w:t>
            </w:r>
          </w:p>
        </w:tc>
      </w:tr>
      <w:tr>
        <w:trPr/>
        <w:tc>
          <w:tcPr>
            <w:tcW w:w="1137" w:type="dxa"/>
            <w:tcBorders/>
            <w:vAlign w:val="center"/>
          </w:tcPr>
          <w:p>
            <w:pPr>
              <w:pStyle w:val="TableContents"/>
              <w:bidi w:val="0"/>
              <w:spacing w:before="0" w:after="283"/>
              <w:jc w:val="left"/>
              <w:rPr/>
            </w:pPr>
            <w:r>
              <w:rPr/>
              <w:t>(a)</w:t>
            </w:r>
          </w:p>
        </w:tc>
        <w:tc>
          <w:tcPr>
            <w:tcW w:w="9068" w:type="dxa"/>
            <w:tcBorders/>
            <w:vAlign w:val="center"/>
          </w:tcPr>
          <w:p>
            <w:pPr>
              <w:pStyle w:val="TableContents"/>
              <w:bidi w:val="0"/>
              <w:spacing w:before="0" w:after="0"/>
              <w:jc w:val="left"/>
              <w:rPr/>
            </w:pPr>
            <w:r>
              <w:rPr/>
              <w:t>Puma Growth Holdings, LLC, a Delaware limited liability company ("Puma"), Rubicon Founders OP GP, LP, a Delaware limited partnership ("RF OP GP"), Rubicon Founders OP GP 2 LLC, a Delaware limited liability company ("RF OP GP 2"), Rubicon Founders LLC, a Delaware limited liability company ("Rubicon Founders"), and Adam Boehler</w:t>
            </w:r>
          </w:p>
        </w:tc>
      </w:tr>
      <w:tr>
        <w:trPr/>
        <w:tc>
          <w:tcPr>
            <w:tcW w:w="1137" w:type="dxa"/>
            <w:tcBorders/>
            <w:vAlign w:val="center"/>
          </w:tcPr>
          <w:p>
            <w:pPr>
              <w:pStyle w:val="TableContents"/>
              <w:bidi w:val="0"/>
              <w:spacing w:before="0" w:after="283"/>
              <w:jc w:val="left"/>
              <w:rPr/>
            </w:pPr>
            <w:r>
              <w:rPr/>
              <w:t>(b)</w:t>
            </w:r>
          </w:p>
        </w:tc>
        <w:tc>
          <w:tcPr>
            <w:tcW w:w="9068" w:type="dxa"/>
            <w:tcBorders/>
            <w:vAlign w:val="center"/>
          </w:tcPr>
          <w:p>
            <w:pPr>
              <w:pStyle w:val="TableContents"/>
              <w:bidi w:val="0"/>
              <w:spacing w:before="0" w:after="0"/>
              <w:jc w:val="left"/>
              <w:rPr/>
            </w:pPr>
            <w:r>
              <w:rPr/>
              <w:t>1316 Adams St., Suite 400, Nashville, TN 37208</w:t>
            </w:r>
          </w:p>
        </w:tc>
      </w:tr>
      <w:tr>
        <w:trPr/>
        <w:tc>
          <w:tcPr>
            <w:tcW w:w="1137" w:type="dxa"/>
            <w:tcBorders/>
            <w:vAlign w:val="center"/>
          </w:tcPr>
          <w:p>
            <w:pPr>
              <w:pStyle w:val="TableContents"/>
              <w:bidi w:val="0"/>
              <w:spacing w:before="0" w:after="283"/>
              <w:jc w:val="left"/>
              <w:rPr/>
            </w:pPr>
            <w:r>
              <w:rPr/>
              <w:t>(c)</w:t>
            </w:r>
          </w:p>
        </w:tc>
        <w:tc>
          <w:tcPr>
            <w:tcW w:w="9068" w:type="dxa"/>
            <w:tcBorders/>
            <w:vAlign w:val="center"/>
          </w:tcPr>
          <w:p>
            <w:pPr>
              <w:pStyle w:val="TableContents"/>
              <w:bidi w:val="0"/>
              <w:spacing w:before="0" w:after="0"/>
              <w:jc w:val="left"/>
              <w:rPr/>
            </w:pPr>
            <w:r>
              <w:rPr/>
              <w:t>The principal business of each of the Reporting Persons is investment and/or investment management.</w:t>
            </w:r>
          </w:p>
        </w:tc>
      </w:tr>
      <w:tr>
        <w:trPr/>
        <w:tc>
          <w:tcPr>
            <w:tcW w:w="1137" w:type="dxa"/>
            <w:tcBorders/>
            <w:vAlign w:val="center"/>
          </w:tcPr>
          <w:p>
            <w:pPr>
              <w:pStyle w:val="TableContents"/>
              <w:bidi w:val="0"/>
              <w:spacing w:before="0" w:after="283"/>
              <w:jc w:val="left"/>
              <w:rPr/>
            </w:pPr>
            <w:r>
              <w:rPr/>
              <w:t>(d)</w:t>
            </w:r>
          </w:p>
        </w:tc>
        <w:tc>
          <w:tcPr>
            <w:tcW w:w="9068" w:type="dxa"/>
            <w:tcBorders/>
            <w:vAlign w:val="center"/>
          </w:tcPr>
          <w:p>
            <w:pPr>
              <w:pStyle w:val="TableContents"/>
              <w:bidi w:val="0"/>
              <w:spacing w:before="0" w:after="0"/>
              <w:jc w:val="left"/>
              <w:rPr/>
            </w:pPr>
            <w:r>
              <w:rPr/>
              <w:t>During the five years preceding the date of this filing, none of the Reporting Persons nor, to the best of the Reporting Persons' knowledge, any of the Related Persons has been convicted in a criminal proceeding (excluding traffic violations or similar misdemeanors).</w:t>
            </w:r>
          </w:p>
        </w:tc>
      </w:tr>
      <w:tr>
        <w:trPr/>
        <w:tc>
          <w:tcPr>
            <w:tcW w:w="1137" w:type="dxa"/>
            <w:tcBorders/>
            <w:vAlign w:val="center"/>
          </w:tcPr>
          <w:p>
            <w:pPr>
              <w:pStyle w:val="TableContents"/>
              <w:bidi w:val="0"/>
              <w:spacing w:before="0" w:after="283"/>
              <w:jc w:val="left"/>
              <w:rPr/>
            </w:pPr>
            <w:r>
              <w:rPr/>
              <w:t>(e)</w:t>
            </w:r>
          </w:p>
        </w:tc>
        <w:tc>
          <w:tcPr>
            <w:tcW w:w="9068" w:type="dxa"/>
            <w:tcBorders/>
            <w:vAlign w:val="center"/>
          </w:tcPr>
          <w:p>
            <w:pPr>
              <w:pStyle w:val="TableContents"/>
              <w:bidi w:val="0"/>
              <w:spacing w:before="0" w:after="0"/>
              <w:jc w:val="left"/>
              <w:rPr/>
            </w:pPr>
            <w:r>
              <w:rPr/>
              <w:t>During the five years preceding the date of this filing, none of the Reporting Persons nor, to the best of the Reporting Persons' knowledge, any of the Related Persons has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r>
      <w:tr>
        <w:trPr/>
        <w:tc>
          <w:tcPr>
            <w:tcW w:w="1137" w:type="dxa"/>
            <w:tcBorders/>
            <w:vAlign w:val="center"/>
          </w:tcPr>
          <w:p>
            <w:pPr>
              <w:pStyle w:val="TableContents"/>
              <w:bidi w:val="0"/>
              <w:spacing w:before="0" w:after="283"/>
              <w:jc w:val="left"/>
              <w:rPr/>
            </w:pPr>
            <w:r>
              <w:rPr/>
              <w:t>(f)</w:t>
            </w:r>
          </w:p>
        </w:tc>
        <w:tc>
          <w:tcPr>
            <w:tcW w:w="9068" w:type="dxa"/>
            <w:tcBorders/>
            <w:vAlign w:val="center"/>
          </w:tcPr>
          <w:p>
            <w:pPr>
              <w:pStyle w:val="TableContents"/>
              <w:bidi w:val="0"/>
              <w:spacing w:before="0" w:after="0"/>
              <w:jc w:val="left"/>
              <w:rPr/>
            </w:pPr>
            <w:r>
              <w:rPr/>
              <w:t>The Reporting Persons (other than Mr. Boehler). are organized under the laws of the state of Delaware. Mr. Boehler is a United States citizen.</w:t>
            </w:r>
          </w:p>
        </w:tc>
      </w:tr>
      <w:tr>
        <w:trPr/>
        <w:tc>
          <w:tcPr>
            <w:tcW w:w="1137" w:type="dxa"/>
            <w:tcBorders/>
            <w:vAlign w:val="center"/>
          </w:tcPr>
          <w:p>
            <w:pPr>
              <w:pStyle w:val="TableContents"/>
              <w:bidi w:val="0"/>
              <w:spacing w:before="0" w:after="283"/>
              <w:jc w:val="left"/>
              <w:rPr/>
            </w:pPr>
            <w:r>
              <w:rPr/>
              <w:t>Item 3.</w:t>
            </w:r>
          </w:p>
        </w:tc>
        <w:tc>
          <w:tcPr>
            <w:tcW w:w="9068" w:type="dxa"/>
            <w:tcBorders/>
            <w:vAlign w:val="center"/>
          </w:tcPr>
          <w:p>
            <w:pPr>
              <w:pStyle w:val="TableContents"/>
              <w:bidi w:val="0"/>
              <w:spacing w:before="0" w:after="283"/>
              <w:jc w:val="left"/>
              <w:rPr/>
            </w:pPr>
            <w:r>
              <w:rPr/>
              <w:t>Source and Amount of Funds or Other Consideration</w:t>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spacing w:before="0" w:after="0"/>
              <w:jc w:val="left"/>
              <w:rPr/>
            </w:pPr>
            <w:r>
              <w:rPr/>
              <w:t>The Common Stock reported herein as being beneficially owned by the Reporting Persons was purchased using working capital of the Reporting Persons or their affiliates. An aggregate of approximately $138,436,812 (excluding brokerage commissions) was used to purchase the Common Stock reported as beneficially owned by the Reporting Persons in this Schedule 13D.</w:t>
            </w:r>
          </w:p>
        </w:tc>
      </w:tr>
      <w:tr>
        <w:trPr/>
        <w:tc>
          <w:tcPr>
            <w:tcW w:w="1137" w:type="dxa"/>
            <w:tcBorders/>
            <w:vAlign w:val="center"/>
          </w:tcPr>
          <w:p>
            <w:pPr>
              <w:pStyle w:val="TableContents"/>
              <w:bidi w:val="0"/>
              <w:spacing w:before="0" w:after="283"/>
              <w:jc w:val="left"/>
              <w:rPr/>
            </w:pPr>
            <w:r>
              <w:rPr/>
              <w:t>Item 4.</w:t>
            </w:r>
          </w:p>
        </w:tc>
        <w:tc>
          <w:tcPr>
            <w:tcW w:w="9068" w:type="dxa"/>
            <w:tcBorders/>
            <w:vAlign w:val="center"/>
          </w:tcPr>
          <w:p>
            <w:pPr>
              <w:pStyle w:val="TableContents"/>
              <w:bidi w:val="0"/>
              <w:spacing w:before="0" w:after="283"/>
              <w:jc w:val="left"/>
              <w:rPr/>
            </w:pPr>
            <w:r>
              <w:rPr/>
              <w:t>Purpose of Transaction</w:t>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spacing w:before="0" w:after="0"/>
              <w:jc w:val="left"/>
              <w:rPr/>
            </w:pPr>
            <w:r>
              <w:rPr/>
              <w:t>The Reporting Persons originally acquired the Common Stock reported herein for investment purposes because they believed such shares represented an attractive investment opportunity. The Reporting Persons intend to review their investments in the Issuer on a continuing basis and in connection with such review communicate with officers and directors of the Issuer or other stockholders or third parties, such as industry analysts, existing or potential strategic partners, investment professionals and other investors.</w:t>
            </w:r>
          </w:p>
        </w:tc>
      </w:tr>
      <w:tr>
        <w:trPr/>
        <w:tc>
          <w:tcPr>
            <w:tcW w:w="1137" w:type="dxa"/>
            <w:tcBorders/>
            <w:vAlign w:val="center"/>
          </w:tcPr>
          <w:p>
            <w:pPr>
              <w:pStyle w:val="TableContents"/>
              <w:bidi w:val="0"/>
              <w:spacing w:before="0" w:after="283"/>
              <w:jc w:val="left"/>
              <w:rPr/>
            </w:pPr>
            <w:r>
              <w:rPr/>
              <w:t>Item 5.</w:t>
            </w:r>
          </w:p>
        </w:tc>
        <w:tc>
          <w:tcPr>
            <w:tcW w:w="9068" w:type="dxa"/>
            <w:tcBorders/>
            <w:vAlign w:val="center"/>
          </w:tcPr>
          <w:p>
            <w:pPr>
              <w:pStyle w:val="TableContents"/>
              <w:bidi w:val="0"/>
              <w:spacing w:before="0" w:after="283"/>
              <w:jc w:val="left"/>
              <w:rPr/>
            </w:pPr>
            <w:r>
              <w:rPr/>
              <w:t>Interest in Securities of the Issuer</w:t>
            </w:r>
          </w:p>
        </w:tc>
      </w:tr>
      <w:tr>
        <w:trPr/>
        <w:tc>
          <w:tcPr>
            <w:tcW w:w="1137" w:type="dxa"/>
            <w:tcBorders/>
            <w:vAlign w:val="center"/>
          </w:tcPr>
          <w:p>
            <w:pPr>
              <w:pStyle w:val="TableContents"/>
              <w:bidi w:val="0"/>
              <w:spacing w:before="0" w:after="283"/>
              <w:jc w:val="left"/>
              <w:rPr/>
            </w:pPr>
            <w:r>
              <w:rPr/>
              <w:t>(a)</w:t>
            </w:r>
          </w:p>
        </w:tc>
        <w:tc>
          <w:tcPr>
            <w:tcW w:w="9068" w:type="dxa"/>
            <w:tcBorders/>
            <w:vAlign w:val="center"/>
          </w:tcPr>
          <w:p>
            <w:pPr>
              <w:pStyle w:val="TableContents"/>
              <w:bidi w:val="0"/>
              <w:spacing w:before="0" w:after="0"/>
              <w:jc w:val="left"/>
              <w:rPr/>
            </w:pPr>
            <w:r>
              <w:rPr/>
              <w:t>See rows (11) and (13) of the cover pages to this Schedule 13D for the aggregate number of shares of Common Stock and percentage of the Common Stock beneficially owned by each of the Reporting Persons. The percentages reported in this Schedule 13D were calculated based on a total of 127,734,207 shares of Common Stock issued and outstanding as of July 31, 2026, as reported in the Issuer's Quarterly Report on Form 10-Q filed with the Securities and Exchange Commission (the "SEC") on August 6, 2026.</w:t>
            </w:r>
          </w:p>
        </w:tc>
      </w:tr>
      <w:tr>
        <w:trPr/>
        <w:tc>
          <w:tcPr>
            <w:tcW w:w="1137" w:type="dxa"/>
            <w:tcBorders/>
            <w:vAlign w:val="center"/>
          </w:tcPr>
          <w:p>
            <w:pPr>
              <w:pStyle w:val="TableContents"/>
              <w:bidi w:val="0"/>
              <w:spacing w:before="0" w:after="283"/>
              <w:jc w:val="left"/>
              <w:rPr/>
            </w:pPr>
            <w:r>
              <w:rPr/>
              <w:t>(b)</w:t>
            </w:r>
          </w:p>
        </w:tc>
        <w:tc>
          <w:tcPr>
            <w:tcW w:w="9068" w:type="dxa"/>
            <w:tcBorders/>
            <w:vAlign w:val="center"/>
          </w:tcPr>
          <w:p>
            <w:pPr>
              <w:pStyle w:val="TableContents"/>
              <w:bidi w:val="0"/>
              <w:spacing w:before="0" w:after="0"/>
              <w:jc w:val="left"/>
              <w:rPr/>
            </w:pPr>
            <w:r>
              <w:rPr/>
              <w:t>See rows (7) through (10) of the cover pages to this Schedule 13D for the number of shares of Common Stock as to which each Reporting Person has the sole or shared power to vote or direct the vote and sole or shared power to dispose or to direct the disposition.</w:t>
            </w:r>
          </w:p>
        </w:tc>
      </w:tr>
      <w:tr>
        <w:trPr/>
        <w:tc>
          <w:tcPr>
            <w:tcW w:w="1137" w:type="dxa"/>
            <w:tcBorders/>
            <w:vAlign w:val="center"/>
          </w:tcPr>
          <w:p>
            <w:pPr>
              <w:pStyle w:val="TableContents"/>
              <w:bidi w:val="0"/>
              <w:spacing w:before="0" w:after="283"/>
              <w:jc w:val="left"/>
              <w:rPr/>
            </w:pPr>
            <w:r>
              <w:rPr/>
              <w:t>(c)</w:t>
            </w:r>
          </w:p>
        </w:tc>
        <w:tc>
          <w:tcPr>
            <w:tcW w:w="9068" w:type="dxa"/>
            <w:tcBorders/>
            <w:vAlign w:val="center"/>
          </w:tcPr>
          <w:p>
            <w:pPr>
              <w:pStyle w:val="TableContents"/>
              <w:bidi w:val="0"/>
              <w:spacing w:before="0" w:after="0"/>
              <w:jc w:val="left"/>
              <w:rPr/>
            </w:pPr>
            <w:r>
              <w:rPr/>
              <w:t>Type of Transaction Shares of Common Stock Purchased/Sold Price Per Share Date of Purchase Sell 100,000 $27.21 07/07/2026 Sell 97,557 $27.65 07/13/2026 Buy 301,807 $20.98 08/06/2026 Buy 51,521 $21.00 08/24/2026 Buy 150,005 $20.98 08/25/2026 Buy 100,000 $20.90 08/27/2026 Buy 95,658 $20.91 09/01/2026</w:t>
            </w:r>
          </w:p>
        </w:tc>
      </w:tr>
      <w:tr>
        <w:trPr/>
        <w:tc>
          <w:tcPr>
            <w:tcW w:w="1137" w:type="dxa"/>
            <w:tcBorders/>
            <w:vAlign w:val="center"/>
          </w:tcPr>
          <w:p>
            <w:pPr>
              <w:pStyle w:val="TableContents"/>
              <w:bidi w:val="0"/>
              <w:spacing w:before="0" w:after="283"/>
              <w:jc w:val="left"/>
              <w:rPr/>
            </w:pPr>
            <w:r>
              <w:rPr/>
              <w:t>(d)</w:t>
            </w:r>
          </w:p>
        </w:tc>
        <w:tc>
          <w:tcPr>
            <w:tcW w:w="9068" w:type="dxa"/>
            <w:tcBorders/>
            <w:vAlign w:val="center"/>
          </w:tcPr>
          <w:p>
            <w:pPr>
              <w:pStyle w:val="TableContents"/>
              <w:bidi w:val="0"/>
              <w:spacing w:before="0" w:after="0"/>
              <w:jc w:val="left"/>
              <w:rPr/>
            </w:pPr>
            <w:r>
              <w:rPr/>
              <w:t>Other than the Reporting Persons, no other person is known to have the right to receive, or the power to direct the receipt of, dividends from or proceeds from the sale, of the Common Stock.</w:t>
            </w:r>
          </w:p>
        </w:tc>
      </w:tr>
      <w:tr>
        <w:trPr/>
        <w:tc>
          <w:tcPr>
            <w:tcW w:w="1137" w:type="dxa"/>
            <w:tcBorders/>
            <w:vAlign w:val="center"/>
          </w:tcPr>
          <w:p>
            <w:pPr>
              <w:pStyle w:val="TableContents"/>
              <w:bidi w:val="0"/>
              <w:spacing w:before="0" w:after="283"/>
              <w:jc w:val="left"/>
              <w:rPr/>
            </w:pPr>
            <w:r>
              <w:rPr/>
              <w:t>(e)</w:t>
            </w:r>
          </w:p>
        </w:tc>
        <w:tc>
          <w:tcPr>
            <w:tcW w:w="9068" w:type="dxa"/>
            <w:tcBorders/>
            <w:vAlign w:val="center"/>
          </w:tcPr>
          <w:p>
            <w:pPr>
              <w:pStyle w:val="TableContents"/>
              <w:bidi w:val="0"/>
              <w:spacing w:before="0" w:after="0"/>
              <w:jc w:val="left"/>
              <w:rPr/>
            </w:pPr>
            <w:r>
              <w:rPr/>
              <w:t>N/A</w:t>
            </w:r>
          </w:p>
        </w:tc>
      </w:tr>
      <w:tr>
        <w:trPr/>
        <w:tc>
          <w:tcPr>
            <w:tcW w:w="1137" w:type="dxa"/>
            <w:tcBorders/>
            <w:vAlign w:val="center"/>
          </w:tcPr>
          <w:p>
            <w:pPr>
              <w:pStyle w:val="TableContents"/>
              <w:bidi w:val="0"/>
              <w:spacing w:before="0" w:after="283"/>
              <w:jc w:val="left"/>
              <w:rPr/>
            </w:pPr>
            <w:r>
              <w:rPr/>
              <w:t>Item 6.</w:t>
            </w:r>
          </w:p>
        </w:tc>
        <w:tc>
          <w:tcPr>
            <w:tcW w:w="9068"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spacing w:before="0" w:after="0"/>
              <w:jc w:val="left"/>
              <w:rPr/>
            </w:pPr>
            <w:r>
              <w:rPr/>
              <w:t>Other than the Joint Filing Agreement attached as Exhibit A hereto, there are no contracts, arrangements, understandings or relationships (legal or otherwise) among any Reporting Person or between such persons and any person with respect to any securities of the Issuer, including any class of the Issuer's securities used as a reference security, in connection with any of the following: call options, put options, security-based swaps or any other derivative securities, transfer or voting of any of the securities, finder's fees, joint ventures, loan or option arrangements, guarantees of profits, division of profits or loss, or the giving or withholding of proxies.</w:t>
            </w:r>
          </w:p>
        </w:tc>
      </w:tr>
      <w:tr>
        <w:trPr/>
        <w:tc>
          <w:tcPr>
            <w:tcW w:w="1137" w:type="dxa"/>
            <w:tcBorders/>
            <w:vAlign w:val="center"/>
          </w:tcPr>
          <w:p>
            <w:pPr>
              <w:pStyle w:val="TableContents"/>
              <w:bidi w:val="0"/>
              <w:spacing w:before="0" w:after="283"/>
              <w:jc w:val="left"/>
              <w:rPr/>
            </w:pPr>
            <w:r>
              <w:rPr/>
              <w:t>Item 7.</w:t>
            </w:r>
          </w:p>
        </w:tc>
        <w:tc>
          <w:tcPr>
            <w:tcW w:w="9068" w:type="dxa"/>
            <w:tcBorders/>
            <w:vAlign w:val="center"/>
          </w:tcPr>
          <w:p>
            <w:pPr>
              <w:pStyle w:val="TableContents"/>
              <w:bidi w:val="0"/>
              <w:spacing w:before="0" w:after="283"/>
              <w:jc w:val="left"/>
              <w:rPr/>
            </w:pPr>
            <w:r>
              <w:rPr/>
              <w:t>Material to be Filed as Exhibits.</w:t>
            </w:r>
          </w:p>
        </w:tc>
      </w:tr>
      <w:tr>
        <w:trPr/>
        <w:tc>
          <w:tcPr>
            <w:tcW w:w="1137" w:type="dxa"/>
            <w:tcBorders/>
            <w:vAlign w:val="center"/>
          </w:tcPr>
          <w:p>
            <w:pPr>
              <w:pStyle w:val="TableContents"/>
              <w:bidi w:val="0"/>
              <w:spacing w:before="0" w:after="283"/>
              <w:jc w:val="left"/>
              <w:rPr/>
            </w:pPr>
            <w:r>
              <w:rPr/>
              <w:t> </w:t>
            </w:r>
          </w:p>
        </w:tc>
        <w:tc>
          <w:tcPr>
            <w:tcW w:w="9068" w:type="dxa"/>
            <w:tcBorders/>
            <w:vAlign w:val="center"/>
          </w:tcPr>
          <w:p>
            <w:pPr>
              <w:pStyle w:val="TableContents"/>
              <w:bidi w:val="0"/>
              <w:spacing w:before="0" w:after="0"/>
              <w:jc w:val="left"/>
              <w:rPr/>
            </w:pPr>
            <w:r>
              <w:rPr/>
              <w:t>Exhibit A, Joint Filing Agreement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Puma Growth Holdings, LLC</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6"/>
        <w:gridCol w:w="4509"/>
      </w:tblGrid>
      <w:tr>
        <w:trPr/>
        <w:tc>
          <w:tcPr>
            <w:tcW w:w="56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Cory Reno</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Cory Reno</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509"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Rubicon Founders OP GP, LP</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6"/>
        <w:gridCol w:w="4509"/>
      </w:tblGrid>
      <w:tr>
        <w:trPr/>
        <w:tc>
          <w:tcPr>
            <w:tcW w:w="56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Cory Reno</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Cory Reno</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509" w:type="dxa"/>
            <w:tcBorders/>
            <w:vAlign w:val="center"/>
          </w:tcPr>
          <w:p>
            <w:pPr>
              <w:pStyle w:val="TableContents"/>
              <w:bidi w:val="0"/>
              <w:spacing w:before="0" w:after="283"/>
              <w:jc w:val="left"/>
              <w:rPr>
                <w:sz w:val="4"/>
                <w:szCs w:val="4"/>
              </w:rPr>
            </w:pPr>
            <w:r>
              <w:rPr>
                <w:sz w:val="4"/>
                <w:szCs w:val="4"/>
              </w:rPr>
            </w:r>
          </w:p>
        </w:tc>
      </w:tr>
    </w:tbl>
    <w:tbl>
      <w:tblPr>
        <w:tblW w:w="6982" w:type="dxa"/>
        <w:jc w:val="left"/>
        <w:tblInd w:w="0" w:type="dxa"/>
        <w:tblLayout w:type="fixed"/>
        <w:tblCellMar>
          <w:top w:w="28" w:type="dxa"/>
          <w:left w:w="28" w:type="dxa"/>
          <w:bottom w:w="28" w:type="dxa"/>
          <w:right w:w="28" w:type="dxa"/>
        </w:tblCellMar>
      </w:tblPr>
      <w:tblGrid>
        <w:gridCol w:w="3491"/>
        <w:gridCol w:w="3491"/>
      </w:tblGrid>
      <w:tr>
        <w:trPr/>
        <w:tc>
          <w:tcPr>
            <w:tcW w:w="3491" w:type="dxa"/>
            <w:tcBorders/>
            <w:vAlign w:val="center"/>
          </w:tcPr>
          <w:p>
            <w:pPr>
              <w:pStyle w:val="TableContents"/>
              <w:bidi w:val="0"/>
              <w:spacing w:before="0" w:after="0"/>
              <w:jc w:val="left"/>
              <w:rPr/>
            </w:pPr>
            <w:r>
              <w:rPr/>
              <w:t> </w:t>
            </w:r>
          </w:p>
          <w:tbl>
            <w:tblPr>
              <w:tblW w:w="3376" w:type="dxa"/>
              <w:jc w:val="left"/>
              <w:tblInd w:w="0" w:type="dxa"/>
              <w:tblLayout w:type="fixed"/>
              <w:tblCellMar>
                <w:top w:w="28" w:type="dxa"/>
                <w:left w:w="28" w:type="dxa"/>
                <w:bottom w:w="28" w:type="dxa"/>
                <w:right w:w="28" w:type="dxa"/>
              </w:tblCellMar>
            </w:tblPr>
            <w:tblGrid>
              <w:gridCol w:w="3376"/>
            </w:tblGrid>
            <w:tr>
              <w:trPr/>
              <w:tc>
                <w:tcPr>
                  <w:tcW w:w="3376" w:type="dxa"/>
                  <w:tcBorders/>
                  <w:vAlign w:val="center"/>
                </w:tcPr>
                <w:p>
                  <w:pPr>
                    <w:pStyle w:val="TableContents"/>
                    <w:bidi w:val="0"/>
                    <w:spacing w:before="0" w:after="0"/>
                    <w:jc w:val="left"/>
                    <w:rPr/>
                  </w:pPr>
                  <w:r>
                    <w:rPr/>
                    <w:t>Rubicon Founders OP GP 2 LLC</w:t>
                  </w:r>
                </w:p>
              </w:tc>
            </w:tr>
          </w:tbl>
          <w:p>
            <w:pPr>
              <w:pStyle w:val="TableContents"/>
              <w:bidi w:val="0"/>
              <w:spacing w:before="0" w:after="283"/>
              <w:jc w:val="left"/>
              <w:rPr/>
            </w:pPr>
            <w:r>
              <w:rPr/>
            </w:r>
          </w:p>
        </w:tc>
        <w:tc>
          <w:tcPr>
            <w:tcW w:w="3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6"/>
        <w:gridCol w:w="4509"/>
      </w:tblGrid>
      <w:tr>
        <w:trPr/>
        <w:tc>
          <w:tcPr>
            <w:tcW w:w="56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Cory Reno</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Cory Reno</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509" w:type="dxa"/>
            <w:tcBorders/>
            <w:vAlign w:val="center"/>
          </w:tcPr>
          <w:p>
            <w:pPr>
              <w:pStyle w:val="TableContents"/>
              <w:bidi w:val="0"/>
              <w:spacing w:before="0" w:after="283"/>
              <w:jc w:val="left"/>
              <w:rPr>
                <w:sz w:val="4"/>
                <w:szCs w:val="4"/>
              </w:rPr>
            </w:pPr>
            <w:r>
              <w:rPr>
                <w:sz w:val="4"/>
                <w:szCs w:val="4"/>
              </w:rPr>
            </w:r>
          </w:p>
        </w:tc>
      </w:tr>
    </w:tbl>
    <w:tbl>
      <w:tblPr>
        <w:tblW w:w="5096" w:type="dxa"/>
        <w:jc w:val="left"/>
        <w:tblInd w:w="0" w:type="dxa"/>
        <w:tblLayout w:type="fixed"/>
        <w:tblCellMar>
          <w:top w:w="28" w:type="dxa"/>
          <w:left w:w="28" w:type="dxa"/>
          <w:bottom w:w="28" w:type="dxa"/>
          <w:right w:w="28" w:type="dxa"/>
        </w:tblCellMar>
      </w:tblPr>
      <w:tblGrid>
        <w:gridCol w:w="2548"/>
        <w:gridCol w:w="2548"/>
      </w:tblGrid>
      <w:tr>
        <w:trPr/>
        <w:tc>
          <w:tcPr>
            <w:tcW w:w="2548" w:type="dxa"/>
            <w:tcBorders/>
            <w:vAlign w:val="center"/>
          </w:tcPr>
          <w:p>
            <w:pPr>
              <w:pStyle w:val="TableContents"/>
              <w:bidi w:val="0"/>
              <w:spacing w:before="0" w:after="0"/>
              <w:jc w:val="left"/>
              <w:rPr/>
            </w:pPr>
            <w:r>
              <w:rPr/>
              <w:t> </w:t>
            </w:r>
          </w:p>
          <w:tbl>
            <w:tblPr>
              <w:tblW w:w="2446" w:type="dxa"/>
              <w:jc w:val="left"/>
              <w:tblInd w:w="0" w:type="dxa"/>
              <w:tblLayout w:type="fixed"/>
              <w:tblCellMar>
                <w:top w:w="28" w:type="dxa"/>
                <w:left w:w="28" w:type="dxa"/>
                <w:bottom w:w="28" w:type="dxa"/>
                <w:right w:w="28" w:type="dxa"/>
              </w:tblCellMar>
            </w:tblPr>
            <w:tblGrid>
              <w:gridCol w:w="2446"/>
            </w:tblGrid>
            <w:tr>
              <w:trPr/>
              <w:tc>
                <w:tcPr>
                  <w:tcW w:w="2446" w:type="dxa"/>
                  <w:tcBorders/>
                  <w:vAlign w:val="center"/>
                </w:tcPr>
                <w:p>
                  <w:pPr>
                    <w:pStyle w:val="TableContents"/>
                    <w:bidi w:val="0"/>
                    <w:spacing w:before="0" w:after="0"/>
                    <w:jc w:val="left"/>
                    <w:rPr/>
                  </w:pPr>
                  <w:r>
                    <w:rPr/>
                    <w:t>Rubicon Founders LLC</w:t>
                  </w:r>
                </w:p>
              </w:tc>
            </w:tr>
          </w:tbl>
          <w:p>
            <w:pPr>
              <w:pStyle w:val="TableContents"/>
              <w:bidi w:val="0"/>
              <w:spacing w:before="0" w:after="283"/>
              <w:jc w:val="left"/>
              <w:rPr/>
            </w:pPr>
            <w:r>
              <w:rPr/>
            </w:r>
          </w:p>
        </w:tc>
        <w:tc>
          <w:tcPr>
            <w:tcW w:w="25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96"/>
        <w:gridCol w:w="4509"/>
      </w:tblGrid>
      <w:tr>
        <w:trPr/>
        <w:tc>
          <w:tcPr>
            <w:tcW w:w="56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Cory Reno</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Cory Reno</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509"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Adam Boehler</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1"/>
        <w:gridCol w:w="4414"/>
      </w:tblGrid>
      <w:tr>
        <w:trPr/>
        <w:tc>
          <w:tcPr>
            <w:tcW w:w="579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Adam Boehler</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Adam Boehler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09/08/2026</w:t>
                  </w:r>
                </w:p>
              </w:tc>
            </w:tr>
          </w:tbl>
          <w:p>
            <w:pPr>
              <w:pStyle w:val="TableContents"/>
              <w:bidi w:val="0"/>
              <w:spacing w:before="0" w:after="283"/>
              <w:jc w:val="left"/>
              <w:rPr/>
            </w:pPr>
            <w:r>
              <w:rPr/>
            </w:r>
          </w:p>
        </w:tc>
        <w:tc>
          <w:tcPr>
            <w:tcW w:w="441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Arial;Helvetica;Sans-Serif" w:hAnsi="Arial;Helvetica;Sans-Serif"/>
          <w:b/>
          <w:i w:val="false"/>
          <w:caps w:val="false"/>
          <w:smallCaps w:val="false"/>
          <w:sz w:val="20"/>
        </w:rPr>
      </w:pPr>
      <w:bookmarkStart w:id="30" w:name="dp253078_ex99.htm"/>
      <w:bookmarkStart w:id="31" w:name="ksdp253078_ex99"/>
      <w:bookmarkEnd w:id="30"/>
      <w:bookmarkEnd w:id="31"/>
      <w:r>
        <w:rPr>
          <w:rFonts w:ascii="Arial;Helvetica;Sans-Serif" w:hAnsi="Arial;Helvetica;Sans-Serif"/>
          <w:b/>
          <w:i w:val="false"/>
          <w:caps w:val="false"/>
          <w:smallCaps w:val="false"/>
          <w:sz w:val="20"/>
        </w:rPr>
        <w:t>EXHIBIT A TO SCHEDULE 13D</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ACCORDANCE WITH Rule 13d-1(k) under the Securities Exchange Act of 1934, as amended, the undersigned hereby agree to the joint filing on behalf of each of them of a statement on Schedule 13D (including amendments thereto) with respect to the Common Stock, par value $0.01 per share, of Privia Health Group, Inc. and that this Joint Filing Agreement be included as an exhibit to such joint filing, provided that, as contemplated by Section 13d-1(k)(2), no person shall be responsible for the completeness and accuracy of the information concerning the other persons making the filing unless such person knows or has reason to know such information is inaccurate.</w:t>
      </w:r>
    </w:p>
    <w:p>
      <w:pPr>
        <w:pStyle w:val="TextBody"/>
        <w:bidi w:val="0"/>
        <w:spacing w:before="0" w:after="0"/>
        <w:ind w:left="0" w:right="0" w:hanging="0"/>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WITNESS WHEREOF, the undersigned hereby execute this Joint Filing Agreement as of this 8th day of September, 2026.</w:t>
      </w:r>
    </w:p>
    <w:p>
      <w:pPr>
        <w:pStyle w:val="TextBody"/>
        <w:bidi w:val="0"/>
        <w:spacing w:before="0" w:after="0"/>
        <w:ind w:left="0" w:right="0" w:hanging="0"/>
        <w:jc w:val="right"/>
        <w:rPr>
          <w:caps w:val="false"/>
          <w:smallCaps w:val="false"/>
        </w:rPr>
      </w:pPr>
      <w:r>
        <w:rPr>
          <w:caps w:val="false"/>
          <w:smallCaps w:val="false"/>
        </w:rPr>
        <w:t> </w:t>
      </w:r>
    </w:p>
    <w:tbl>
      <w:tblPr>
        <w:tblW w:w="3395" w:type="dxa"/>
        <w:jc w:val="left"/>
        <w:tblInd w:w="0" w:type="dxa"/>
        <w:tblLayout w:type="fixed"/>
        <w:tblCellMar>
          <w:top w:w="0" w:type="dxa"/>
          <w:left w:w="0" w:type="dxa"/>
          <w:bottom w:w="0" w:type="dxa"/>
          <w:right w:w="0" w:type="dxa"/>
        </w:tblCellMar>
      </w:tblPr>
      <w:tblGrid>
        <w:gridCol w:w="75"/>
        <w:gridCol w:w="3320"/>
      </w:tblGrid>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rFonts w:ascii="Arial;Helvetica;Sans-Serif" w:hAnsi="Arial;Helvetica;Sans-Serif"/>
                <w:caps/>
                <w:sz w:val="20"/>
              </w:rPr>
            </w:pPr>
            <w:r>
              <w:rPr>
                <w:rFonts w:ascii="Arial;Helvetica;Sans-Serif" w:hAnsi="Arial;Helvetica;Sans-Serif"/>
                <w:caps/>
                <w:sz w:val="20"/>
              </w:rPr>
              <w:t>PUMA GROWTH HOLDINGS, LLC</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2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By: /s/ Cory Reno </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Cory Reno</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General Counsel</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rFonts w:ascii="Arial;Helvetica;Sans-Serif" w:hAnsi="Arial;Helvetica;Sans-Serif"/>
                <w:caps/>
                <w:sz w:val="20"/>
              </w:rPr>
            </w:pPr>
            <w:r>
              <w:rPr>
                <w:rFonts w:ascii="Arial;Helvetica;Sans-Serif" w:hAnsi="Arial;Helvetica;Sans-Serif"/>
                <w:caps/>
                <w:sz w:val="20"/>
              </w:rPr>
              <w:t>Rubicon Founders OP GP, LP</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2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By: /s/ Cory Reno </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Cory Reno</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General Counsel</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rFonts w:ascii="Arial;Helvetica;Sans-Serif" w:hAnsi="Arial;Helvetica;Sans-Serif"/>
                <w:caps/>
                <w:sz w:val="20"/>
              </w:rPr>
            </w:pPr>
            <w:r>
              <w:rPr>
                <w:rFonts w:ascii="Arial;Helvetica;Sans-Serif" w:hAnsi="Arial;Helvetica;Sans-Serif"/>
                <w:caps/>
                <w:sz w:val="20"/>
              </w:rPr>
              <w:t>Rubicon Founders OP GP 2 LLC</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2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By: /s/ Cory Reno </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Cory Reno</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General Counsel</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rFonts w:ascii="Arial;Helvetica;Sans-Serif" w:hAnsi="Arial;Helvetica;Sans-Serif"/>
                <w:caps/>
                <w:sz w:val="20"/>
              </w:rPr>
            </w:pPr>
            <w:r>
              <w:rPr>
                <w:rFonts w:ascii="Arial;Helvetica;Sans-Serif" w:hAnsi="Arial;Helvetica;Sans-Serif"/>
                <w:caps/>
                <w:sz w:val="20"/>
              </w:rPr>
              <w:t>Rubicon Founders LLC</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2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By: /s/ Cory Reno </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Cory Reno</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General Counsel</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rFonts w:ascii="Arial;Helvetica;Sans-Serif" w:hAnsi="Arial;Helvetica;Sans-Serif"/>
                <w:caps/>
                <w:sz w:val="20"/>
              </w:rPr>
            </w:pPr>
            <w:r>
              <w:rPr>
                <w:rFonts w:ascii="Arial;Helvetica;Sans-Serif" w:hAnsi="Arial;Helvetica;Sans-Serif"/>
                <w:caps/>
                <w:sz w:val="20"/>
              </w:rPr>
              <w:t>ADAM BOEHLER</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2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 /s/ Adam Boehler</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2087</Words>
  <Characters>10712</Characters>
  <CharactersWithSpaces>12672</CharactersWithSpaces>
  <Paragraphs>403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