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16, 2021</w:t>
      </w:r>
    </w:p>
    <w:p>
      <w:pPr>
        <w:spacing w:after="0" w:line="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55880</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47625</wp:posOffset>
            </wp:positionV>
            <wp:extent cx="2280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Privia Health Group,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56515</wp:posOffset>
            </wp:positionV>
            <wp:extent cx="2280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99" w:lineRule="exact"/>
        <w:rPr>
          <w:sz w:val="24"/>
          <w:szCs w:val="24"/>
          <w:color w:val="auto"/>
        </w:rPr>
      </w:pPr>
    </w:p>
    <w:tbl>
      <w:tblPr>
        <w:tblLayout w:type="fixed"/>
        <w:tblInd w:w="1020" w:type="dxa"/>
        <w:tblCellMar>
          <w:top w:w="0" w:type="dxa"/>
          <w:left w:w="0" w:type="dxa"/>
          <w:bottom w:w="0" w:type="dxa"/>
          <w:right w:w="0" w:type="dxa"/>
        </w:tblCellMar>
      </w:tblPr>
      <w:tr>
        <w:trPr>
          <w:trHeight w:val="164"/>
        </w:trPr>
        <w:tc>
          <w:tcPr>
            <w:tcW w:w="2740" w:type="dxa"/>
            <w:vAlign w:val="bottom"/>
          </w:tcPr>
          <w:p>
            <w:pPr>
              <w:jc w:val="center"/>
              <w:ind w:right="977"/>
              <w:spacing w:after="0"/>
              <w:rPr>
                <w:sz w:val="20"/>
                <w:szCs w:val="20"/>
                <w:color w:val="auto"/>
              </w:rPr>
            </w:pPr>
            <w:r>
              <w:rPr>
                <w:rFonts w:ascii="Arial" w:cs="Arial" w:eastAsia="Arial" w:hAnsi="Arial"/>
                <w:sz w:val="13"/>
                <w:szCs w:val="13"/>
                <w:b w:val="1"/>
                <w:bCs w:val="1"/>
                <w:color w:val="auto"/>
                <w:w w:val="87"/>
              </w:rPr>
              <w:t>Delaware</w:t>
            </w:r>
          </w:p>
        </w:tc>
        <w:tc>
          <w:tcPr>
            <w:tcW w:w="3820" w:type="dxa"/>
            <w:vAlign w:val="bottom"/>
          </w:tcPr>
          <w:p>
            <w:pPr>
              <w:jc w:val="right"/>
              <w:ind w:right="1777"/>
              <w:spacing w:after="0"/>
              <w:rPr>
                <w:sz w:val="20"/>
                <w:szCs w:val="20"/>
                <w:color w:val="auto"/>
              </w:rPr>
            </w:pPr>
            <w:r>
              <w:rPr>
                <w:rFonts w:ascii="Arial" w:cs="Arial" w:eastAsia="Arial" w:hAnsi="Arial"/>
                <w:sz w:val="13"/>
                <w:szCs w:val="13"/>
                <w:b w:val="1"/>
                <w:bCs w:val="1"/>
                <w:color w:val="auto"/>
              </w:rPr>
              <w:t>8000</w:t>
            </w:r>
          </w:p>
        </w:tc>
        <w:tc>
          <w:tcPr>
            <w:tcW w:w="2400" w:type="dxa"/>
            <w:vAlign w:val="bottom"/>
          </w:tcPr>
          <w:p>
            <w:pPr>
              <w:jc w:val="center"/>
              <w:ind w:left="1097"/>
              <w:spacing w:after="0"/>
              <w:rPr>
                <w:sz w:val="20"/>
                <w:szCs w:val="20"/>
                <w:color w:val="auto"/>
              </w:rPr>
            </w:pPr>
            <w:r>
              <w:rPr>
                <w:rFonts w:ascii="Arial" w:cs="Arial" w:eastAsia="Arial" w:hAnsi="Arial"/>
                <w:sz w:val="13"/>
                <w:szCs w:val="13"/>
                <w:b w:val="1"/>
                <w:bCs w:val="1"/>
                <w:color w:val="auto"/>
                <w:w w:val="86"/>
              </w:rPr>
              <w:t>81-3599420</w:t>
            </w:r>
          </w:p>
        </w:tc>
      </w:tr>
      <w:tr>
        <w:trPr>
          <w:trHeight w:val="203"/>
        </w:trPr>
        <w:tc>
          <w:tcPr>
            <w:tcW w:w="2740" w:type="dxa"/>
            <w:vAlign w:val="bottom"/>
          </w:tcPr>
          <w:p>
            <w:pPr>
              <w:jc w:val="center"/>
              <w:ind w:right="977"/>
              <w:spacing w:after="0"/>
              <w:rPr>
                <w:sz w:val="20"/>
                <w:szCs w:val="20"/>
                <w:color w:val="auto"/>
              </w:rPr>
            </w:pPr>
            <w:r>
              <w:rPr>
                <w:rFonts w:ascii="Arial" w:cs="Arial" w:eastAsia="Arial" w:hAnsi="Arial"/>
                <w:sz w:val="13"/>
                <w:szCs w:val="13"/>
                <w:b w:val="1"/>
                <w:bCs w:val="1"/>
                <w:color w:val="auto"/>
                <w:w w:val="87"/>
              </w:rPr>
              <w:t>(State or Other Jurisdiction of</w:t>
            </w:r>
          </w:p>
        </w:tc>
        <w:tc>
          <w:tcPr>
            <w:tcW w:w="382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(Primary Standard Industrial</w:t>
            </w:r>
          </w:p>
        </w:tc>
        <w:tc>
          <w:tcPr>
            <w:tcW w:w="2400" w:type="dxa"/>
            <w:vAlign w:val="bottom"/>
          </w:tcPr>
          <w:p>
            <w:pPr>
              <w:jc w:val="center"/>
              <w:ind w:left="1097"/>
              <w:spacing w:after="0"/>
              <w:rPr>
                <w:sz w:val="20"/>
                <w:szCs w:val="20"/>
                <w:color w:val="auto"/>
              </w:rPr>
            </w:pPr>
            <w:r>
              <w:rPr>
                <w:rFonts w:ascii="Arial" w:cs="Arial" w:eastAsia="Arial" w:hAnsi="Arial"/>
                <w:sz w:val="13"/>
                <w:szCs w:val="13"/>
                <w:b w:val="1"/>
                <w:bCs w:val="1"/>
                <w:color w:val="auto"/>
                <w:w w:val="92"/>
              </w:rPr>
              <w:t>(I.R.S. Employer</w:t>
            </w:r>
          </w:p>
        </w:tc>
      </w:tr>
      <w:tr>
        <w:trPr>
          <w:trHeight w:val="203"/>
        </w:trPr>
        <w:tc>
          <w:tcPr>
            <w:tcW w:w="2740" w:type="dxa"/>
            <w:vAlign w:val="bottom"/>
          </w:tcPr>
          <w:p>
            <w:pPr>
              <w:jc w:val="center"/>
              <w:ind w:right="977"/>
              <w:spacing w:after="0"/>
              <w:rPr>
                <w:sz w:val="20"/>
                <w:szCs w:val="20"/>
                <w:color w:val="auto"/>
              </w:rPr>
            </w:pPr>
            <w:r>
              <w:rPr>
                <w:rFonts w:ascii="Arial" w:cs="Arial" w:eastAsia="Arial" w:hAnsi="Arial"/>
                <w:sz w:val="13"/>
                <w:szCs w:val="13"/>
                <w:b w:val="1"/>
                <w:bCs w:val="1"/>
                <w:color w:val="auto"/>
                <w:w w:val="90"/>
              </w:rPr>
              <w:t>Incorporation or Organization)</w:t>
            </w:r>
          </w:p>
        </w:tc>
        <w:tc>
          <w:tcPr>
            <w:tcW w:w="382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Classification Code Number)</w:t>
            </w:r>
          </w:p>
        </w:tc>
        <w:tc>
          <w:tcPr>
            <w:tcW w:w="2400" w:type="dxa"/>
            <w:vAlign w:val="bottom"/>
          </w:tcPr>
          <w:p>
            <w:pPr>
              <w:jc w:val="center"/>
              <w:ind w:left="1097"/>
              <w:spacing w:after="0"/>
              <w:rPr>
                <w:sz w:val="20"/>
                <w:szCs w:val="20"/>
                <w:color w:val="auto"/>
              </w:rPr>
            </w:pPr>
            <w:r>
              <w:rPr>
                <w:rFonts w:ascii="Arial" w:cs="Arial" w:eastAsia="Arial" w:hAnsi="Arial"/>
                <w:sz w:val="13"/>
                <w:szCs w:val="13"/>
                <w:b w:val="1"/>
                <w:bCs w:val="1"/>
                <w:color w:val="auto"/>
                <w:w w:val="89"/>
              </w:rPr>
              <w:t>Identification Number)</w:t>
            </w:r>
          </w:p>
        </w:tc>
      </w:tr>
      <w:tr>
        <w:trPr>
          <w:trHeight w:val="203"/>
        </w:trPr>
        <w:tc>
          <w:tcPr>
            <w:tcW w:w="2740" w:type="dxa"/>
            <w:vAlign w:val="bottom"/>
          </w:tcPr>
          <w:p>
            <w:pPr>
              <w:spacing w:after="0"/>
              <w:rPr>
                <w:sz w:val="17"/>
                <w:szCs w:val="17"/>
                <w:color w:val="auto"/>
              </w:rPr>
            </w:pPr>
          </w:p>
        </w:tc>
        <w:tc>
          <w:tcPr>
            <w:tcW w:w="382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950 N. Glebe Rd., Suite 700</w:t>
            </w:r>
          </w:p>
        </w:tc>
        <w:tc>
          <w:tcPr>
            <w:tcW w:w="24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382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Arlington, VA 22203</w:t>
            </w:r>
          </w:p>
        </w:tc>
        <w:tc>
          <w:tcPr>
            <w:tcW w:w="24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3820" w:type="dxa"/>
            <w:vAlign w:val="bottom"/>
          </w:tcPr>
          <w:p>
            <w:pPr>
              <w:jc w:val="right"/>
              <w:ind w:right="1517"/>
              <w:spacing w:after="0"/>
              <w:rPr>
                <w:sz w:val="20"/>
                <w:szCs w:val="20"/>
                <w:color w:val="auto"/>
              </w:rPr>
            </w:pPr>
            <w:r>
              <w:rPr>
                <w:rFonts w:ascii="Arial" w:cs="Arial" w:eastAsia="Arial" w:hAnsi="Arial"/>
                <w:sz w:val="13"/>
                <w:szCs w:val="13"/>
                <w:b w:val="1"/>
                <w:bCs w:val="1"/>
                <w:color w:val="auto"/>
              </w:rPr>
              <w:t>(571) 366-8850</w:t>
            </w:r>
          </w:p>
        </w:tc>
        <w:tc>
          <w:tcPr>
            <w:tcW w:w="2400" w:type="dxa"/>
            <w:vAlign w:val="bottom"/>
          </w:tcPr>
          <w:p>
            <w:pPr>
              <w:spacing w:after="0"/>
              <w:rPr>
                <w:sz w:val="17"/>
                <w:szCs w:val="17"/>
                <w:color w:val="auto"/>
              </w:rPr>
            </w:pP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62230</wp:posOffset>
            </wp:positionV>
            <wp:extent cx="228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Shawn Morris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rPr>
          <w:sz w:val="20"/>
          <w:szCs w:val="20"/>
          <w:color w:val="auto"/>
        </w:rPr>
      </w:pPr>
      <w:r>
        <w:rPr>
          <w:rFonts w:ascii="Arial" w:cs="Arial" w:eastAsia="Arial" w:hAnsi="Arial"/>
          <w:sz w:val="13"/>
          <w:szCs w:val="13"/>
          <w:b w:val="1"/>
          <w:bCs w:val="1"/>
          <w:color w:val="auto"/>
        </w:rPr>
        <w:t>Privia Health Group, Inc.</w:t>
      </w:r>
    </w:p>
    <w:p>
      <w:pPr>
        <w:jc w:val="center"/>
        <w:spacing w:after="0"/>
        <w:rPr>
          <w:sz w:val="20"/>
          <w:szCs w:val="20"/>
          <w:color w:val="auto"/>
        </w:rPr>
      </w:pPr>
      <w:r>
        <w:rPr>
          <w:rFonts w:ascii="Arial" w:cs="Arial" w:eastAsia="Arial" w:hAnsi="Arial"/>
          <w:sz w:val="13"/>
          <w:szCs w:val="13"/>
          <w:b w:val="1"/>
          <w:bCs w:val="1"/>
          <w:color w:val="auto"/>
        </w:rPr>
        <w:t>950 N. Glebe Rd., Suite 700</w:t>
      </w:r>
    </w:p>
    <w:p>
      <w:pPr>
        <w:jc w:val="center"/>
        <w:spacing w:after="0"/>
        <w:rPr>
          <w:sz w:val="20"/>
          <w:szCs w:val="20"/>
          <w:color w:val="auto"/>
        </w:rPr>
      </w:pPr>
      <w:r>
        <w:rPr>
          <w:rFonts w:ascii="Arial" w:cs="Arial" w:eastAsia="Arial" w:hAnsi="Arial"/>
          <w:sz w:val="13"/>
          <w:szCs w:val="13"/>
          <w:b w:val="1"/>
          <w:bCs w:val="1"/>
          <w:color w:val="auto"/>
        </w:rPr>
        <w:t>Arlington, VA 22203</w:t>
      </w:r>
    </w:p>
    <w:p>
      <w:pPr>
        <w:jc w:val="center"/>
        <w:spacing w:after="0"/>
        <w:rPr>
          <w:sz w:val="20"/>
          <w:szCs w:val="20"/>
          <w:color w:val="auto"/>
        </w:rPr>
      </w:pPr>
      <w:r>
        <w:rPr>
          <w:rFonts w:ascii="Arial" w:cs="Arial" w:eastAsia="Arial" w:hAnsi="Arial"/>
          <w:sz w:val="13"/>
          <w:szCs w:val="13"/>
          <w:b w:val="1"/>
          <w:bCs w:val="1"/>
          <w:color w:val="auto"/>
        </w:rPr>
        <w:t>(571) 366-8850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53340</wp:posOffset>
            </wp:positionV>
            <wp:extent cx="228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99" w:lineRule="exact"/>
        <w:rPr>
          <w:sz w:val="24"/>
          <w:szCs w:val="24"/>
          <w:color w:val="auto"/>
        </w:rPr>
      </w:pPr>
    </w:p>
    <w:tbl>
      <w:tblPr>
        <w:tblLayout w:type="fixed"/>
        <w:tblInd w:w="204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4620" w:type="dxa"/>
            <w:vAlign w:val="bottom"/>
          </w:tcPr>
          <w:p>
            <w:pPr>
              <w:ind w:left="840"/>
              <w:spacing w:after="0"/>
              <w:rPr>
                <w:sz w:val="20"/>
                <w:szCs w:val="20"/>
                <w:color w:val="auto"/>
              </w:rPr>
            </w:pPr>
            <w:r>
              <w:rPr>
                <w:rFonts w:ascii="Arial" w:cs="Arial" w:eastAsia="Arial" w:hAnsi="Arial"/>
                <w:sz w:val="13"/>
                <w:szCs w:val="13"/>
                <w:b w:val="1"/>
                <w:bCs w:val="1"/>
                <w:i w:val="1"/>
                <w:iCs w:val="1"/>
                <w:color w:val="auto"/>
              </w:rPr>
              <w:t>Copies to:</w:t>
            </w:r>
          </w:p>
        </w:tc>
      </w:tr>
      <w:tr>
        <w:trPr>
          <w:trHeight w:val="203"/>
        </w:trPr>
        <w:tc>
          <w:tcPr>
            <w:tcW w:w="2480" w:type="dxa"/>
            <w:vAlign w:val="bottom"/>
          </w:tcPr>
          <w:p>
            <w:pPr>
              <w:jc w:val="center"/>
              <w:ind w:right="797"/>
              <w:spacing w:after="0"/>
              <w:rPr>
                <w:sz w:val="20"/>
                <w:szCs w:val="20"/>
                <w:color w:val="auto"/>
              </w:rPr>
            </w:pPr>
            <w:r>
              <w:rPr>
                <w:rFonts w:ascii="Arial" w:cs="Arial" w:eastAsia="Arial" w:hAnsi="Arial"/>
                <w:sz w:val="13"/>
                <w:szCs w:val="13"/>
                <w:b w:val="1"/>
                <w:bCs w:val="1"/>
                <w:color w:val="auto"/>
                <w:w w:val="87"/>
              </w:rPr>
              <w:t>Richard D. Truesdell, Jr., Esq.</w:t>
            </w:r>
          </w:p>
        </w:tc>
        <w:tc>
          <w:tcPr>
            <w:tcW w:w="4620" w:type="dxa"/>
            <w:vAlign w:val="bottom"/>
          </w:tcPr>
          <w:p>
            <w:pPr>
              <w:jc w:val="center"/>
              <w:ind w:left="3057"/>
              <w:spacing w:after="0"/>
              <w:rPr>
                <w:sz w:val="20"/>
                <w:szCs w:val="20"/>
                <w:color w:val="auto"/>
              </w:rPr>
            </w:pPr>
            <w:r>
              <w:rPr>
                <w:rFonts w:ascii="Arial" w:cs="Arial" w:eastAsia="Arial" w:hAnsi="Arial"/>
                <w:sz w:val="13"/>
                <w:szCs w:val="13"/>
                <w:b w:val="1"/>
                <w:bCs w:val="1"/>
                <w:color w:val="auto"/>
                <w:w w:val="88"/>
              </w:rPr>
              <w:t>Mitchell S. Bloom, Esq.</w:t>
            </w:r>
          </w:p>
        </w:tc>
      </w:tr>
      <w:tr>
        <w:trPr>
          <w:trHeight w:val="203"/>
        </w:trPr>
        <w:tc>
          <w:tcPr>
            <w:tcW w:w="2480" w:type="dxa"/>
            <w:vAlign w:val="bottom"/>
          </w:tcPr>
          <w:p>
            <w:pPr>
              <w:jc w:val="center"/>
              <w:ind w:right="797"/>
              <w:spacing w:after="0"/>
              <w:rPr>
                <w:sz w:val="20"/>
                <w:szCs w:val="20"/>
                <w:color w:val="auto"/>
              </w:rPr>
            </w:pPr>
            <w:r>
              <w:rPr>
                <w:rFonts w:ascii="Arial" w:cs="Arial" w:eastAsia="Arial" w:hAnsi="Arial"/>
                <w:sz w:val="13"/>
                <w:szCs w:val="13"/>
                <w:b w:val="1"/>
                <w:bCs w:val="1"/>
                <w:color w:val="auto"/>
                <w:w w:val="91"/>
              </w:rPr>
              <w:t>Davis Polk &amp; Wardwell LLP</w:t>
            </w:r>
          </w:p>
        </w:tc>
        <w:tc>
          <w:tcPr>
            <w:tcW w:w="4620" w:type="dxa"/>
            <w:vAlign w:val="bottom"/>
          </w:tcPr>
          <w:p>
            <w:pPr>
              <w:jc w:val="center"/>
              <w:ind w:left="3057"/>
              <w:spacing w:after="0"/>
              <w:rPr>
                <w:sz w:val="20"/>
                <w:szCs w:val="20"/>
                <w:color w:val="auto"/>
              </w:rPr>
            </w:pPr>
            <w:r>
              <w:rPr>
                <w:rFonts w:ascii="Arial" w:cs="Arial" w:eastAsia="Arial" w:hAnsi="Arial"/>
                <w:sz w:val="13"/>
                <w:szCs w:val="13"/>
                <w:b w:val="1"/>
                <w:bCs w:val="1"/>
                <w:color w:val="auto"/>
                <w:w w:val="90"/>
              </w:rPr>
              <w:t>Benjamin K. Marsh, Esq.</w:t>
            </w:r>
          </w:p>
        </w:tc>
      </w:tr>
      <w:tr>
        <w:trPr>
          <w:trHeight w:val="203"/>
        </w:trPr>
        <w:tc>
          <w:tcPr>
            <w:tcW w:w="2480" w:type="dxa"/>
            <w:vAlign w:val="bottom"/>
          </w:tcPr>
          <w:p>
            <w:pPr>
              <w:jc w:val="center"/>
              <w:ind w:right="777"/>
              <w:spacing w:after="0"/>
              <w:rPr>
                <w:sz w:val="20"/>
                <w:szCs w:val="20"/>
                <w:color w:val="auto"/>
              </w:rPr>
            </w:pPr>
            <w:r>
              <w:rPr>
                <w:rFonts w:ascii="Arial" w:cs="Arial" w:eastAsia="Arial" w:hAnsi="Arial"/>
                <w:sz w:val="13"/>
                <w:szCs w:val="13"/>
                <w:b w:val="1"/>
                <w:bCs w:val="1"/>
                <w:color w:val="auto"/>
                <w:w w:val="86"/>
              </w:rPr>
              <w:t>450 Lexington Avenue</w:t>
            </w:r>
          </w:p>
        </w:tc>
        <w:tc>
          <w:tcPr>
            <w:tcW w:w="4620" w:type="dxa"/>
            <w:vAlign w:val="bottom"/>
          </w:tcPr>
          <w:p>
            <w:pPr>
              <w:jc w:val="center"/>
              <w:ind w:left="3077"/>
              <w:spacing w:after="0"/>
              <w:rPr>
                <w:sz w:val="20"/>
                <w:szCs w:val="20"/>
                <w:color w:val="auto"/>
              </w:rPr>
            </w:pPr>
            <w:r>
              <w:rPr>
                <w:rFonts w:ascii="Arial" w:cs="Arial" w:eastAsia="Arial" w:hAnsi="Arial"/>
                <w:sz w:val="13"/>
                <w:szCs w:val="13"/>
                <w:b w:val="1"/>
                <w:bCs w:val="1"/>
                <w:color w:val="auto"/>
                <w:w w:val="90"/>
              </w:rPr>
              <w:t>Goodwin Procter LLP</w:t>
            </w:r>
          </w:p>
        </w:tc>
      </w:tr>
      <w:tr>
        <w:trPr>
          <w:trHeight w:val="203"/>
        </w:trPr>
        <w:tc>
          <w:tcPr>
            <w:tcW w:w="2480" w:type="dxa"/>
            <w:vAlign w:val="bottom"/>
          </w:tcPr>
          <w:p>
            <w:pPr>
              <w:jc w:val="center"/>
              <w:ind w:right="777"/>
              <w:spacing w:after="0"/>
              <w:rPr>
                <w:sz w:val="20"/>
                <w:szCs w:val="20"/>
                <w:color w:val="auto"/>
              </w:rPr>
            </w:pPr>
            <w:r>
              <w:rPr>
                <w:rFonts w:ascii="Arial" w:cs="Arial" w:eastAsia="Arial" w:hAnsi="Arial"/>
                <w:sz w:val="13"/>
                <w:szCs w:val="13"/>
                <w:b w:val="1"/>
                <w:bCs w:val="1"/>
                <w:color w:val="auto"/>
                <w:w w:val="89"/>
              </w:rPr>
              <w:t>New York, New York 10017</w:t>
            </w:r>
          </w:p>
        </w:tc>
        <w:tc>
          <w:tcPr>
            <w:tcW w:w="4620" w:type="dxa"/>
            <w:vAlign w:val="bottom"/>
          </w:tcPr>
          <w:p>
            <w:pPr>
              <w:jc w:val="center"/>
              <w:ind w:left="3057"/>
              <w:spacing w:after="0"/>
              <w:rPr>
                <w:sz w:val="20"/>
                <w:szCs w:val="20"/>
                <w:color w:val="auto"/>
              </w:rPr>
            </w:pPr>
            <w:r>
              <w:rPr>
                <w:rFonts w:ascii="Arial" w:cs="Arial" w:eastAsia="Arial" w:hAnsi="Arial"/>
                <w:sz w:val="13"/>
                <w:szCs w:val="13"/>
                <w:b w:val="1"/>
                <w:bCs w:val="1"/>
                <w:color w:val="auto"/>
                <w:w w:val="85"/>
              </w:rPr>
              <w:t>620 8th Avenue</w:t>
            </w:r>
          </w:p>
        </w:tc>
      </w:tr>
      <w:tr>
        <w:trPr>
          <w:trHeight w:val="203"/>
        </w:trPr>
        <w:tc>
          <w:tcPr>
            <w:tcW w:w="2480" w:type="dxa"/>
            <w:vAlign w:val="bottom"/>
          </w:tcPr>
          <w:p>
            <w:pPr>
              <w:jc w:val="center"/>
              <w:ind w:right="777"/>
              <w:spacing w:after="0"/>
              <w:rPr>
                <w:sz w:val="20"/>
                <w:szCs w:val="20"/>
                <w:color w:val="auto"/>
              </w:rPr>
            </w:pPr>
            <w:r>
              <w:rPr>
                <w:rFonts w:ascii="Arial" w:cs="Arial" w:eastAsia="Arial" w:hAnsi="Arial"/>
                <w:sz w:val="13"/>
                <w:szCs w:val="13"/>
                <w:b w:val="1"/>
                <w:bCs w:val="1"/>
                <w:color w:val="auto"/>
                <w:w w:val="89"/>
              </w:rPr>
              <w:t>(212) 450-4000</w:t>
            </w:r>
          </w:p>
        </w:tc>
        <w:tc>
          <w:tcPr>
            <w:tcW w:w="4620" w:type="dxa"/>
            <w:vAlign w:val="bottom"/>
          </w:tcPr>
          <w:p>
            <w:pPr>
              <w:jc w:val="center"/>
              <w:ind w:left="3077"/>
              <w:spacing w:after="0"/>
              <w:rPr>
                <w:sz w:val="20"/>
                <w:szCs w:val="20"/>
                <w:color w:val="auto"/>
              </w:rPr>
            </w:pPr>
            <w:r>
              <w:rPr>
                <w:rFonts w:ascii="Arial" w:cs="Arial" w:eastAsia="Arial" w:hAnsi="Arial"/>
                <w:sz w:val="13"/>
                <w:szCs w:val="13"/>
                <w:b w:val="1"/>
                <w:bCs w:val="1"/>
                <w:color w:val="auto"/>
                <w:w w:val="89"/>
              </w:rPr>
              <w:t>New York, New York 10018</w:t>
            </w:r>
          </w:p>
        </w:tc>
      </w:tr>
      <w:tr>
        <w:trPr>
          <w:trHeight w:val="203"/>
        </w:trPr>
        <w:tc>
          <w:tcPr>
            <w:tcW w:w="2480" w:type="dxa"/>
            <w:vAlign w:val="bottom"/>
          </w:tcPr>
          <w:p>
            <w:pPr>
              <w:spacing w:after="0"/>
              <w:rPr>
                <w:sz w:val="17"/>
                <w:szCs w:val="17"/>
                <w:color w:val="auto"/>
              </w:rPr>
            </w:pPr>
          </w:p>
        </w:tc>
        <w:tc>
          <w:tcPr>
            <w:tcW w:w="4620" w:type="dxa"/>
            <w:vAlign w:val="bottom"/>
          </w:tcPr>
          <w:p>
            <w:pPr>
              <w:jc w:val="center"/>
              <w:ind w:left="3057"/>
              <w:spacing w:after="0"/>
              <w:rPr>
                <w:sz w:val="20"/>
                <w:szCs w:val="20"/>
                <w:color w:val="auto"/>
              </w:rPr>
            </w:pPr>
            <w:r>
              <w:rPr>
                <w:rFonts w:ascii="Arial" w:cs="Arial" w:eastAsia="Arial" w:hAnsi="Arial"/>
                <w:sz w:val="13"/>
                <w:szCs w:val="13"/>
                <w:b w:val="1"/>
                <w:bCs w:val="1"/>
                <w:color w:val="auto"/>
                <w:w w:val="87"/>
              </w:rPr>
              <w:t>(212) 813-8800</w:t>
            </w:r>
          </w:p>
        </w:tc>
      </w:tr>
    </w:tbl>
    <w:p>
      <w:pPr>
        <w:spacing w:after="0" w:line="10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8"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20"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firstLine="324"/>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1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280"/>
              <w:spacing w:after="0"/>
              <w:rPr>
                <w:sz w:val="20"/>
                <w:szCs w:val="20"/>
                <w:color w:val="auto"/>
              </w:rPr>
            </w:pPr>
            <w:r>
              <w:rPr>
                <w:rFonts w:ascii="Arial" w:cs="Arial" w:eastAsia="Arial" w:hAnsi="Arial"/>
                <w:sz w:val="13"/>
                <w:szCs w:val="13"/>
                <w:color w:val="auto"/>
              </w:rPr>
              <w:t>Accelerated filer</w:t>
            </w:r>
          </w:p>
        </w:tc>
        <w:tc>
          <w:tcPr>
            <w:tcW w:w="980" w:type="dxa"/>
            <w:vAlign w:val="bottom"/>
          </w:tcPr>
          <w:p>
            <w:pPr>
              <w:ind w:left="8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21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280"/>
              <w:spacing w:after="0"/>
              <w:rPr>
                <w:sz w:val="20"/>
                <w:szCs w:val="20"/>
                <w:color w:val="auto"/>
              </w:rPr>
            </w:pPr>
            <w:r>
              <w:rPr>
                <w:rFonts w:ascii="Arial" w:cs="Arial" w:eastAsia="Arial" w:hAnsi="Arial"/>
                <w:sz w:val="13"/>
                <w:szCs w:val="13"/>
                <w:color w:val="auto"/>
              </w:rPr>
              <w:t>Smaller reporting company</w:t>
            </w:r>
          </w:p>
        </w:tc>
        <w:tc>
          <w:tcPr>
            <w:tcW w:w="980" w:type="dxa"/>
            <w:vAlign w:val="bottom"/>
          </w:tcPr>
          <w:p>
            <w:pPr>
              <w:ind w:left="8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2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520" w:type="dxa"/>
            <w:vAlign w:val="bottom"/>
          </w:tcPr>
          <w:p>
            <w:pPr>
              <w:ind w:left="2280"/>
              <w:spacing w:after="0"/>
              <w:rPr>
                <w:sz w:val="20"/>
                <w:szCs w:val="20"/>
                <w:color w:val="auto"/>
              </w:rPr>
            </w:pPr>
            <w:r>
              <w:rPr>
                <w:rFonts w:ascii="Arial" w:cs="Arial" w:eastAsia="Arial" w:hAnsi="Arial"/>
                <w:sz w:val="13"/>
                <w:szCs w:val="13"/>
                <w:color w:val="auto"/>
              </w:rPr>
              <w:t>Emerging growth company</w:t>
            </w:r>
          </w:p>
        </w:tc>
        <w:tc>
          <w:tcPr>
            <w:tcW w:w="980" w:type="dxa"/>
            <w:vAlign w:val="bottom"/>
          </w:tcPr>
          <w:p>
            <w:pPr>
              <w:ind w:left="88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96"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44450</wp:posOffset>
            </wp:positionV>
            <wp:extent cx="228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080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080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60" w:type="dxa"/>
            <w:vAlign w:val="bottom"/>
          </w:tcPr>
          <w:p>
            <w:pPr>
              <w:jc w:val="center"/>
              <w:ind w:left="117"/>
              <w:spacing w:after="0"/>
              <w:rPr>
                <w:sz w:val="20"/>
                <w:szCs w:val="20"/>
                <w:color w:val="auto"/>
              </w:rPr>
            </w:pPr>
            <w:r>
              <w:rPr>
                <w:rFonts w:ascii="Arial" w:cs="Arial" w:eastAsia="Arial" w:hAnsi="Arial"/>
                <w:sz w:val="13"/>
                <w:szCs w:val="13"/>
                <w:color w:val="auto"/>
                <w:w w:val="88"/>
              </w:rPr>
              <w:t>Proposed Maximum Offering Price Per</w:t>
            </w:r>
          </w:p>
        </w:tc>
        <w:tc>
          <w:tcPr>
            <w:tcW w:w="2400" w:type="dxa"/>
            <w:vAlign w:val="bottom"/>
          </w:tcPr>
          <w:p>
            <w:pPr>
              <w:jc w:val="center"/>
              <w:ind w:right="66"/>
              <w:spacing w:after="0"/>
              <w:rPr>
                <w:sz w:val="20"/>
                <w:szCs w:val="20"/>
                <w:color w:val="auto"/>
              </w:rPr>
            </w:pPr>
            <w:r>
              <w:rPr>
                <w:rFonts w:ascii="Arial" w:cs="Arial" w:eastAsia="Arial" w:hAnsi="Arial"/>
                <w:sz w:val="13"/>
                <w:szCs w:val="13"/>
                <w:color w:val="auto"/>
                <w:w w:val="89"/>
              </w:rPr>
              <w:t>Proposed Maximum Aggregate Offering</w:t>
            </w:r>
          </w:p>
        </w:tc>
        <w:tc>
          <w:tcPr>
            <w:tcW w:w="2100" w:type="dxa"/>
            <w:vAlign w:val="bottom"/>
          </w:tcPr>
          <w:p>
            <w:pPr>
              <w:spacing w:after="0"/>
              <w:rPr>
                <w:sz w:val="12"/>
                <w:szCs w:val="12"/>
                <w:color w:val="auto"/>
              </w:rPr>
            </w:pPr>
          </w:p>
        </w:tc>
      </w:tr>
      <w:tr>
        <w:trPr>
          <w:trHeight w:val="162"/>
        </w:trPr>
        <w:tc>
          <w:tcPr>
            <w:tcW w:w="2400" w:type="dxa"/>
            <w:vAlign w:val="bottom"/>
          </w:tcPr>
          <w:p>
            <w:pPr>
              <w:jc w:val="center"/>
              <w:ind w:right="117"/>
              <w:spacing w:after="0"/>
              <w:rPr>
                <w:sz w:val="20"/>
                <w:szCs w:val="20"/>
                <w:color w:val="auto"/>
              </w:rPr>
            </w:pPr>
            <w:r>
              <w:rPr>
                <w:rFonts w:ascii="Arial" w:cs="Arial" w:eastAsia="Arial" w:hAnsi="Arial"/>
                <w:sz w:val="13"/>
                <w:szCs w:val="13"/>
                <w:color w:val="auto"/>
                <w:w w:val="88"/>
              </w:rPr>
              <w:t>Title Of Each Class Of Securities To Be</w:t>
            </w:r>
          </w:p>
        </w:tc>
        <w:tc>
          <w:tcPr>
            <w:tcW w:w="1900" w:type="dxa"/>
            <w:vAlign w:val="bottom"/>
          </w:tcPr>
          <w:p>
            <w:pPr>
              <w:jc w:val="center"/>
              <w:spacing w:after="0" w:line="162" w:lineRule="exact"/>
              <w:rPr>
                <w:sz w:val="20"/>
                <w:szCs w:val="20"/>
                <w:color w:val="auto"/>
              </w:rPr>
            </w:pPr>
            <w:r>
              <w:rPr>
                <w:rFonts w:ascii="Arial" w:cs="Arial" w:eastAsia="Arial" w:hAnsi="Arial"/>
                <w:sz w:val="13"/>
                <w:szCs w:val="13"/>
                <w:color w:val="auto"/>
                <w:w w:val="86"/>
              </w:rPr>
              <w:t>Amount to be Registered</w:t>
            </w:r>
            <w:r>
              <w:rPr>
                <w:rFonts w:ascii="Arial" w:cs="Arial" w:eastAsia="Arial" w:hAnsi="Arial"/>
                <w:sz w:val="16"/>
                <w:szCs w:val="16"/>
                <w:color w:val="auto"/>
                <w:w w:val="86"/>
                <w:vertAlign w:val="superscript"/>
              </w:rPr>
              <w:t>(1)</w:t>
            </w:r>
          </w:p>
        </w:tc>
        <w:tc>
          <w:tcPr>
            <w:tcW w:w="2360" w:type="dxa"/>
            <w:vAlign w:val="bottom"/>
          </w:tcPr>
          <w:p>
            <w:pPr>
              <w:jc w:val="center"/>
              <w:ind w:left="117"/>
              <w:spacing w:after="0" w:line="162" w:lineRule="exact"/>
              <w:rPr>
                <w:sz w:val="20"/>
                <w:szCs w:val="20"/>
                <w:color w:val="auto"/>
              </w:rPr>
            </w:pPr>
            <w:r>
              <w:rPr>
                <w:rFonts w:ascii="Arial" w:cs="Arial" w:eastAsia="Arial" w:hAnsi="Arial"/>
                <w:sz w:val="13"/>
                <w:szCs w:val="13"/>
                <w:color w:val="auto"/>
                <w:w w:val="79"/>
              </w:rPr>
              <w:t>Share</w:t>
            </w:r>
            <w:r>
              <w:rPr>
                <w:rFonts w:ascii="Arial" w:cs="Arial" w:eastAsia="Arial" w:hAnsi="Arial"/>
                <w:sz w:val="16"/>
                <w:szCs w:val="16"/>
                <w:color w:val="auto"/>
                <w:w w:val="79"/>
                <w:vertAlign w:val="superscript"/>
              </w:rPr>
              <w:t>(2)</w:t>
            </w:r>
          </w:p>
        </w:tc>
        <w:tc>
          <w:tcPr>
            <w:tcW w:w="2400" w:type="dxa"/>
            <w:vAlign w:val="bottom"/>
          </w:tcPr>
          <w:p>
            <w:pPr>
              <w:jc w:val="center"/>
              <w:ind w:right="66"/>
              <w:spacing w:after="0" w:line="162" w:lineRule="exact"/>
              <w:rPr>
                <w:sz w:val="20"/>
                <w:szCs w:val="20"/>
                <w:color w:val="auto"/>
              </w:rPr>
            </w:pPr>
            <w:r>
              <w:rPr>
                <w:rFonts w:ascii="Arial" w:cs="Arial" w:eastAsia="Arial" w:hAnsi="Arial"/>
                <w:sz w:val="18"/>
                <w:szCs w:val="18"/>
                <w:color w:val="auto"/>
                <w:w w:val="98"/>
                <w:vertAlign w:val="subscript"/>
              </w:rPr>
              <w:t>Price</w:t>
            </w:r>
            <w:r>
              <w:rPr>
                <w:rFonts w:ascii="Arial" w:cs="Arial" w:eastAsia="Arial" w:hAnsi="Arial"/>
                <w:sz w:val="7"/>
                <w:szCs w:val="7"/>
                <w:color w:val="auto"/>
                <w:w w:val="98"/>
              </w:rPr>
              <w:t>(1)(2)</w:t>
            </w:r>
          </w:p>
        </w:tc>
        <w:tc>
          <w:tcPr>
            <w:tcW w:w="2100" w:type="dxa"/>
            <w:vAlign w:val="bottom"/>
          </w:tcPr>
          <w:p>
            <w:pPr>
              <w:spacing w:after="0"/>
              <w:rPr>
                <w:sz w:val="14"/>
                <w:szCs w:val="14"/>
                <w:color w:val="auto"/>
              </w:rPr>
            </w:pPr>
          </w:p>
        </w:tc>
      </w:tr>
      <w:tr>
        <w:trPr>
          <w:trHeight w:val="160"/>
        </w:trPr>
        <w:tc>
          <w:tcPr>
            <w:tcW w:w="2400" w:type="dxa"/>
            <w:vAlign w:val="bottom"/>
          </w:tcPr>
          <w:p>
            <w:pPr>
              <w:jc w:val="center"/>
              <w:ind w:right="117"/>
              <w:spacing w:after="0"/>
              <w:rPr>
                <w:sz w:val="20"/>
                <w:szCs w:val="20"/>
                <w:color w:val="auto"/>
              </w:rPr>
            </w:pPr>
            <w:r>
              <w:rPr>
                <w:rFonts w:ascii="Arial" w:cs="Arial" w:eastAsia="Arial" w:hAnsi="Arial"/>
                <w:sz w:val="13"/>
                <w:szCs w:val="13"/>
                <w:color w:val="auto"/>
                <w:w w:val="85"/>
              </w:rPr>
              <w:t>Registered</w:t>
            </w:r>
          </w:p>
        </w:tc>
        <w:tc>
          <w:tcPr>
            <w:tcW w:w="1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00" w:type="dxa"/>
            <w:vAlign w:val="bottom"/>
          </w:tcPr>
          <w:p>
            <w:pPr>
              <w:jc w:val="center"/>
              <w:ind w:right="77"/>
              <w:spacing w:after="0"/>
              <w:rPr>
                <w:sz w:val="20"/>
                <w:szCs w:val="20"/>
                <w:color w:val="auto"/>
              </w:rPr>
            </w:pPr>
            <w:r>
              <w:rPr>
                <w:rFonts w:ascii="Arial" w:cs="Arial" w:eastAsia="Arial" w:hAnsi="Arial"/>
                <w:sz w:val="13"/>
                <w:szCs w:val="13"/>
                <w:color w:val="auto"/>
                <w:w w:val="89"/>
              </w:rPr>
              <w:t>Amount Of Registration Fee</w:t>
            </w:r>
          </w:p>
        </w:tc>
      </w:tr>
      <w:tr>
        <w:trPr>
          <w:trHeight w:val="30"/>
        </w:trPr>
        <w:tc>
          <w:tcPr>
            <w:tcW w:w="2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w w:val="96"/>
              </w:rPr>
              <w:t>Common Stock, par value $0.01 per share</w:t>
            </w:r>
          </w:p>
        </w:tc>
        <w:tc>
          <w:tcPr>
            <w:tcW w:w="1900" w:type="dxa"/>
            <w:vAlign w:val="bottom"/>
          </w:tcPr>
          <w:p>
            <w:pPr>
              <w:jc w:val="right"/>
              <w:ind w:right="657"/>
              <w:spacing w:after="0"/>
              <w:rPr>
                <w:sz w:val="20"/>
                <w:szCs w:val="20"/>
                <w:color w:val="auto"/>
              </w:rPr>
            </w:pPr>
            <w:r>
              <w:rPr>
                <w:rFonts w:ascii="Arial" w:cs="Arial" w:eastAsia="Arial" w:hAnsi="Arial"/>
                <w:sz w:val="13"/>
                <w:szCs w:val="13"/>
                <w:color w:val="auto"/>
              </w:rPr>
              <w:t>6,900,000</w:t>
            </w:r>
          </w:p>
        </w:tc>
        <w:tc>
          <w:tcPr>
            <w:tcW w:w="2360" w:type="dxa"/>
            <w:vAlign w:val="bottom"/>
          </w:tcPr>
          <w:p>
            <w:pPr>
              <w:jc w:val="center"/>
              <w:ind w:left="117"/>
              <w:spacing w:after="0"/>
              <w:rPr>
                <w:sz w:val="20"/>
                <w:szCs w:val="20"/>
                <w:color w:val="auto"/>
              </w:rPr>
            </w:pPr>
            <w:r>
              <w:rPr>
                <w:rFonts w:ascii="Arial" w:cs="Arial" w:eastAsia="Arial" w:hAnsi="Arial"/>
                <w:sz w:val="13"/>
                <w:szCs w:val="13"/>
                <w:color w:val="auto"/>
                <w:w w:val="85"/>
              </w:rPr>
              <w:t>$30.62</w:t>
            </w:r>
          </w:p>
        </w:tc>
        <w:tc>
          <w:tcPr>
            <w:tcW w:w="2400" w:type="dxa"/>
            <w:vAlign w:val="bottom"/>
          </w:tcPr>
          <w:p>
            <w:pPr>
              <w:jc w:val="center"/>
              <w:ind w:right="66"/>
              <w:spacing w:after="0"/>
              <w:rPr>
                <w:sz w:val="20"/>
                <w:szCs w:val="20"/>
                <w:color w:val="auto"/>
              </w:rPr>
            </w:pPr>
            <w:r>
              <w:rPr>
                <w:rFonts w:ascii="Arial" w:cs="Arial" w:eastAsia="Arial" w:hAnsi="Arial"/>
                <w:sz w:val="13"/>
                <w:szCs w:val="13"/>
                <w:color w:val="auto"/>
                <w:w w:val="88"/>
              </w:rPr>
              <w:t>211,278,000</w:t>
            </w:r>
          </w:p>
        </w:tc>
        <w:tc>
          <w:tcPr>
            <w:tcW w:w="2100" w:type="dxa"/>
            <w:vAlign w:val="bottom"/>
          </w:tcPr>
          <w:p>
            <w:pPr>
              <w:jc w:val="right"/>
              <w:ind w:right="777"/>
              <w:spacing w:after="0"/>
              <w:rPr>
                <w:sz w:val="20"/>
                <w:szCs w:val="20"/>
                <w:color w:val="auto"/>
              </w:rPr>
            </w:pPr>
            <w:r>
              <w:rPr>
                <w:rFonts w:ascii="Arial" w:cs="Arial" w:eastAsia="Arial" w:hAnsi="Arial"/>
                <w:sz w:val="13"/>
                <w:szCs w:val="13"/>
                <w:color w:val="auto"/>
              </w:rPr>
              <w:t>$19,585.47</w:t>
            </w:r>
          </w:p>
        </w:tc>
      </w:tr>
      <w:tr>
        <w:trPr>
          <w:trHeight w:val="30"/>
        </w:trPr>
        <w:tc>
          <w:tcPr>
            <w:tcW w:w="2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34"/>
        </w:trPr>
        <w:tc>
          <w:tcPr>
            <w:tcW w:w="2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bl>
    <w:p>
      <w:pPr>
        <w:spacing w:after="0" w:line="76"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900,000 additional shares which the underwriters have the right to purchase.</w:t>
      </w:r>
    </w:p>
    <w:p>
      <w:pPr>
        <w:spacing w:after="0" w:line="13"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457(c) under the Securities Act of 1933. The maximum price per share and maximum aggregate offering price are based on the average of the high and low sale prices of our common stock as reported on NASDAQ on November 15, 2021, which date is within five business days prior to filing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47625</wp:posOffset>
            </wp:positionV>
            <wp:extent cx="228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164" w:lineRule="exact"/>
        <w:rPr>
          <w:sz w:val="24"/>
          <w:szCs w:val="24"/>
          <w:color w:val="auto"/>
        </w:rPr>
      </w:pPr>
    </w:p>
    <w:p>
      <w:pPr>
        <w:jc w:val="both"/>
        <w:ind w:right="20" w:firstLine="324"/>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ind w:right="60"/>
        <w:spacing w:after="0" w:line="266" w:lineRule="auto"/>
        <w:rPr>
          <w:sz w:val="20"/>
          <w:szCs w:val="20"/>
          <w:color w:val="auto"/>
        </w:rPr>
      </w:pPr>
      <w:r>
        <w:rPr>
          <w:rFonts w:ascii="Arial" w:cs="Arial" w:eastAsia="Arial" w:hAnsi="Arial"/>
          <w:sz w:val="18"/>
          <w:szCs w:val="18"/>
          <w:b w:val="1"/>
          <w:bCs w:val="1"/>
          <w:color w:val="EE2724"/>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E2724"/>
        </w:rPr>
        <w:t>SUBJECT TO COMPLETION, DATED NOVEMBER 16,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EE2724"/>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85725</wp:posOffset>
            </wp:positionV>
            <wp:extent cx="257175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6,000,000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Privia Health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140335</wp:posOffset>
            </wp:positionV>
            <wp:extent cx="1311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76" w:lineRule="exact"/>
        <w:rPr>
          <w:sz w:val="20"/>
          <w:szCs w:val="20"/>
          <w:color w:val="auto"/>
        </w:rPr>
      </w:pPr>
    </w:p>
    <w:p>
      <w:pPr>
        <w:ind w:firstLine="324"/>
        <w:spacing w:after="0" w:line="307" w:lineRule="auto"/>
        <w:rPr>
          <w:sz w:val="20"/>
          <w:szCs w:val="20"/>
          <w:color w:val="auto"/>
        </w:rPr>
      </w:pPr>
      <w:r>
        <w:rPr>
          <w:rFonts w:ascii="Arial" w:cs="Arial" w:eastAsia="Arial" w:hAnsi="Arial"/>
          <w:sz w:val="16"/>
          <w:szCs w:val="16"/>
          <w:color w:val="auto"/>
        </w:rPr>
        <w:t>The selling shareholders of Privia Health Group, Inc. (“Privia Health”) named in this prospectus are selling 6,000,000 shares of Privia Health’s common stock. We are not selling any shares under this prospectus and will not receive any proceeds from the sale of shares by the selling shareholders.</w:t>
      </w:r>
    </w:p>
    <w:p>
      <w:pPr>
        <w:spacing w:after="0" w:line="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“PRVA”. On November 15, 2021, the last reported sales price of our common stock was $29.76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100330</wp:posOffset>
            </wp:positionV>
            <wp:extent cx="1311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40" w:lineRule="exact"/>
        <w:rPr>
          <w:sz w:val="20"/>
          <w:szCs w:val="20"/>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27">
        <w:r>
          <w:rPr>
            <w:rFonts w:ascii="Arial" w:cs="Arial" w:eastAsia="Arial" w:hAnsi="Arial"/>
            <w:sz w:val="22"/>
            <w:szCs w:val="22"/>
            <w:b w:val="1"/>
            <w:bCs w:val="1"/>
            <w:u w:val="single" w:color="auto"/>
            <w:color w:val="0000FF"/>
          </w:rPr>
          <w:t>Risk Factors</w:t>
        </w:r>
      </w:hyperlink>
      <w:r>
        <w:rPr>
          <w:rFonts w:ascii="Arial" w:cs="Arial" w:eastAsia="Arial" w:hAnsi="Arial"/>
          <w:sz w:val="22"/>
          <w:szCs w:val="22"/>
          <w:b w:val="1"/>
          <w:bCs w:val="1"/>
          <w:color w:val="auto"/>
        </w:rPr>
        <w:t>” beginning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130810</wp:posOffset>
            </wp:positionV>
            <wp:extent cx="1311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and will therefore be subject to reduced reporting requirements.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4" w:lineRule="exact"/>
        <w:rPr>
          <w:sz w:val="20"/>
          <w:szCs w:val="20"/>
          <w:color w:val="auto"/>
        </w:rPr>
      </w:pPr>
    </w:p>
    <w:p>
      <w:pPr>
        <w:ind w:left="8800"/>
        <w:spacing w:after="0"/>
        <w:tabs>
          <w:tab w:leader="none" w:pos="10380" w:val="left"/>
        </w:tabs>
        <w:rPr>
          <w:sz w:val="20"/>
          <w:szCs w:val="20"/>
          <w:color w:val="auto"/>
        </w:rPr>
      </w:pPr>
      <w:r>
        <w:rPr>
          <w:rFonts w:ascii="Arial" w:cs="Arial" w:eastAsia="Arial" w:hAnsi="Arial"/>
          <w:sz w:val="14"/>
          <w:szCs w:val="14"/>
          <w:b w:val="1"/>
          <w:bCs w:val="1"/>
          <w:color w:val="auto"/>
        </w:rPr>
        <w:t>Per Share</w:t>
      </w:r>
      <w:r>
        <w:rPr>
          <w:sz w:val="20"/>
          <w:szCs w:val="20"/>
          <w:color w:val="auto"/>
        </w:rPr>
        <w:tab/>
      </w:r>
      <w:r>
        <w:rPr>
          <w:rFonts w:ascii="Arial" w:cs="Arial" w:eastAsia="Arial" w:hAnsi="Arial"/>
          <w:sz w:val="13"/>
          <w:szCs w:val="13"/>
          <w:b w:val="1"/>
          <w:bCs w:val="1"/>
          <w:color w:val="auto"/>
        </w:rPr>
        <w:t>Total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-130175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Proceeds to the selling stockholder before expenses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55"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FINRA-related expenses. We refer you to “Underwriting (Conflicts of Interest)” beginning on page 176 of this prospectus for additional information regarding underwriting compensation.</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selling stockholders have granted the underwriters a 30-day option to purchase an additional 900,000 shares of common stock from the selling shareholders at the public offering price, less underwriting discounts and commissions. We will not receive any proceeds from the sale of shares by the selling shareholders.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gridSpan w:val="2"/>
          </w:tcPr>
          <w:p>
            <w:pPr>
              <w:ind w:left="340"/>
              <w:spacing w:after="0"/>
              <w:rPr>
                <w:sz w:val="20"/>
                <w:szCs w:val="20"/>
                <w:color w:val="auto"/>
              </w:rPr>
            </w:pPr>
            <w:r>
              <w:rPr>
                <w:rFonts w:ascii="Arial" w:cs="Arial" w:eastAsia="Arial" w:hAnsi="Arial"/>
                <w:sz w:val="18"/>
                <w:szCs w:val="18"/>
                <w:color w:val="auto"/>
                <w:w w:val="99"/>
              </w:rPr>
              <w:t>The underwriters expect to deliver the shares to purchasers on or about</w:t>
            </w: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w w:val="96"/>
              </w:rPr>
              <w:t>, 2021 through the book-entry facilities of The Depository Trust</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81"/>
        </w:trPr>
        <w:tc>
          <w:tcPr>
            <w:tcW w:w="460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00" w:type="dxa"/>
            <w:vAlign w:val="bottom"/>
          </w:tcPr>
          <w:p>
            <w:pPr>
              <w:ind w:left="20"/>
              <w:spacing w:after="0"/>
              <w:rPr>
                <w:sz w:val="20"/>
                <w:szCs w:val="20"/>
                <w:color w:val="auto"/>
              </w:rPr>
            </w:pPr>
            <w:r>
              <w:rPr>
                <w:rFonts w:ascii="Arial" w:cs="Arial" w:eastAsia="Arial" w:hAnsi="Arial"/>
                <w:sz w:val="22"/>
                <w:szCs w:val="22"/>
                <w:b w:val="1"/>
                <w:bCs w:val="1"/>
                <w:color w:val="auto"/>
              </w:rPr>
              <w:t>Goldman Sachs &amp; Co. LLC</w:t>
            </w:r>
          </w:p>
        </w:tc>
        <w:tc>
          <w:tcPr>
            <w:tcW w:w="206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277"/>
        </w:trPr>
        <w:tc>
          <w:tcPr>
            <w:tcW w:w="4600" w:type="dxa"/>
            <w:vAlign w:val="bottom"/>
          </w:tcPr>
          <w:p>
            <w:pPr>
              <w:ind w:left="20"/>
              <w:spacing w:after="0"/>
              <w:rPr>
                <w:sz w:val="20"/>
                <w:szCs w:val="20"/>
                <w:color w:val="auto"/>
              </w:rPr>
            </w:pPr>
            <w:r>
              <w:rPr>
                <w:rFonts w:ascii="Arial" w:cs="Arial" w:eastAsia="Arial" w:hAnsi="Arial"/>
                <w:sz w:val="20"/>
                <w:szCs w:val="20"/>
                <w:b w:val="1"/>
                <w:bCs w:val="1"/>
                <w:color w:val="auto"/>
              </w:rPr>
              <w:t>Credit Suisse</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auto"/>
                <w:w w:val="96"/>
              </w:rPr>
              <w:t>William Blair</w:t>
            </w:r>
          </w:p>
        </w:tc>
        <w:tc>
          <w:tcPr>
            <w:tcW w:w="4580" w:type="dxa"/>
            <w:vAlign w:val="bottom"/>
          </w:tcPr>
          <w:p>
            <w:pPr>
              <w:jc w:val="right"/>
              <w:spacing w:after="0"/>
              <w:rPr>
                <w:sz w:val="20"/>
                <w:szCs w:val="20"/>
                <w:color w:val="auto"/>
              </w:rPr>
            </w:pPr>
            <w:r>
              <w:rPr>
                <w:rFonts w:ascii="Arial" w:cs="Arial" w:eastAsia="Arial" w:hAnsi="Arial"/>
                <w:sz w:val="20"/>
                <w:szCs w:val="20"/>
                <w:b w:val="1"/>
                <w:bCs w:val="1"/>
                <w:color w:val="auto"/>
              </w:rPr>
              <w:t>Piper Sandler</w:t>
            </w:r>
          </w:p>
        </w:tc>
      </w:tr>
      <w:tr>
        <w:trPr>
          <w:trHeight w:val="266"/>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Canaccord Genuity</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4"/>
              </w:rPr>
              <w:t>SVB Leerink</w:t>
            </w: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Truist Securities</w:t>
            </w:r>
          </w:p>
        </w:tc>
      </w:tr>
      <w:tr>
        <w:trPr>
          <w:trHeight w:val="203"/>
        </w:trPr>
        <w:tc>
          <w:tcPr>
            <w:tcW w:w="4600" w:type="dxa"/>
            <w:vAlign w:val="bottom"/>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4580" w:type="dxa"/>
            <w:vAlign w:val="bottom"/>
          </w:tcPr>
          <w:p>
            <w:pPr>
              <w:spacing w:after="0"/>
              <w:rPr>
                <w:sz w:val="17"/>
                <w:szCs w:val="17"/>
                <w:color w:val="auto"/>
              </w:rPr>
            </w:pPr>
          </w:p>
        </w:tc>
      </w:tr>
      <w:tr>
        <w:trPr>
          <w:trHeight w:val="453"/>
        </w:trPr>
        <w:tc>
          <w:tcPr>
            <w:tcW w:w="4600" w:type="dxa"/>
            <w:vAlign w:val="bottom"/>
          </w:tcPr>
          <w:p>
            <w:pPr>
              <w:spacing w:after="0"/>
              <w:rPr>
                <w:sz w:val="24"/>
                <w:szCs w:val="24"/>
                <w:color w:val="auto"/>
              </w:rPr>
            </w:pPr>
          </w:p>
        </w:tc>
        <w:tc>
          <w:tcPr>
            <w:tcW w:w="2060" w:type="dxa"/>
            <w:vAlign w:val="bottom"/>
          </w:tcPr>
          <w:p>
            <w:pPr>
              <w:jc w:val="right"/>
              <w:ind w:right="487"/>
              <w:spacing w:after="0"/>
              <w:rPr>
                <w:sz w:val="20"/>
                <w:szCs w:val="20"/>
                <w:color w:val="auto"/>
              </w:rPr>
            </w:pPr>
            <w:r>
              <w:rPr>
                <w:rFonts w:ascii="Arial" w:cs="Arial" w:eastAsia="Arial" w:hAnsi="Arial"/>
                <w:sz w:val="18"/>
                <w:szCs w:val="18"/>
                <w:color w:val="auto"/>
              </w:rPr>
              <w:t>, 2021</w:t>
            </w:r>
          </w:p>
        </w:tc>
        <w:tc>
          <w:tcPr>
            <w:tcW w:w="4580" w:type="dxa"/>
            <w:vAlign w:val="bottom"/>
          </w:tcPr>
          <w:p>
            <w:pPr>
              <w:spacing w:after="0"/>
              <w:rPr>
                <w:sz w:val="24"/>
                <w:szCs w:val="24"/>
                <w:color w:val="auto"/>
              </w:rPr>
            </w:pPr>
          </w:p>
        </w:tc>
      </w:tr>
      <w:tr>
        <w:trPr>
          <w:trHeight w:val="925"/>
        </w:trPr>
        <w:tc>
          <w:tcPr>
            <w:tcW w:w="46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9244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924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9244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924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9219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9219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17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gridSpan w:val="3"/>
          </w:tcPr>
          <w:p>
            <w:pPr>
              <w:spacing w:after="0"/>
              <w:rPr>
                <w:sz w:val="20"/>
                <w:szCs w:val="20"/>
                <w:color w:val="auto"/>
              </w:rPr>
            </w:pPr>
            <w:r>
              <w:rPr>
                <w:rFonts w:ascii="Arial" w:cs="Arial" w:eastAsia="Arial" w:hAnsi="Arial"/>
                <w:sz w:val="14"/>
                <w:szCs w:val="14"/>
                <w:b w:val="1"/>
                <w:bCs w:val="1"/>
                <w:color w:val="auto"/>
              </w:rPr>
              <w:t>Page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5"/>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9"/>
        </w:trPr>
        <w:tc>
          <w:tcPr>
            <w:tcW w:w="1540" w:type="dxa"/>
            <w:vAlign w:val="bottom"/>
            <w:gridSpan w:val="6"/>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Prospectus Summary</w:t>
              </w:r>
            </w:hyperlink>
          </w:p>
        </w:tc>
        <w:tc>
          <w:tcPr>
            <w:tcW w:w="3540" w:type="dxa"/>
            <w:vAlign w:val="bottom"/>
            <w:gridSpan w:val="7"/>
          </w:tcPr>
          <w:p>
            <w:pPr>
              <w:spacing w:after="0"/>
              <w:rPr>
                <w:sz w:val="18"/>
                <w:szCs w:val="18"/>
                <w:color w:val="auto"/>
              </w:rPr>
            </w:pPr>
          </w:p>
        </w:tc>
        <w:tc>
          <w:tcPr>
            <w:tcW w:w="80" w:type="dxa"/>
            <w:vAlign w:val="bottom"/>
            <w:tcBorders>
              <w:top w:val="single" w:sz="8" w:color="auto"/>
            </w:tcBorders>
          </w:tcPr>
          <w:p>
            <w:pPr>
              <w:jc w:val="cente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64">
              <w:r>
                <w:rPr>
                  <w:rFonts w:ascii="Arial" w:cs="Arial" w:eastAsia="Arial" w:hAnsi="Arial"/>
                  <w:sz w:val="18"/>
                  <w:szCs w:val="18"/>
                  <w:color w:val="0000FF"/>
                </w:rPr>
                <w:t>Certain Relationships and Related Party Transactions</w:t>
              </w:r>
            </w:hyperlink>
          </w:p>
        </w:tc>
        <w:tc>
          <w:tcPr>
            <w:tcW w:w="300" w:type="dxa"/>
            <w:vAlign w:val="bottom"/>
            <w:tcBorders>
              <w:top w:val="single" w:sz="8" w:color="auto"/>
            </w:tcBorders>
            <w:gridSpan w:val="5"/>
          </w:tcPr>
          <w:p>
            <w:pPr>
              <w:spacing w:after="0"/>
              <w:rPr>
                <w:rFonts w:ascii="Arial" w:cs="Arial" w:eastAsia="Arial" w:hAnsi="Arial"/>
                <w:sz w:val="18"/>
                <w:szCs w:val="18"/>
                <w:color w:val="0000FF"/>
                <w:w w:val="93"/>
              </w:rPr>
            </w:pPr>
            <w:hyperlink w:anchor="page164">
              <w:r>
                <w:rPr>
                  <w:rFonts w:ascii="Arial" w:cs="Arial" w:eastAsia="Arial" w:hAnsi="Arial"/>
                  <w:sz w:val="18"/>
                  <w:szCs w:val="18"/>
                  <w:color w:val="0000FF"/>
                  <w:w w:val="93"/>
                </w:rPr>
                <w:t>159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3"/>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Risk Factors</w:t>
              </w:r>
            </w:hyperlink>
          </w:p>
        </w:tc>
        <w:tc>
          <w:tcPr>
            <w:tcW w:w="620" w:type="dxa"/>
            <w:vAlign w:val="bottom"/>
            <w:gridSpan w:val="3"/>
          </w:tcPr>
          <w:p>
            <w:pPr>
              <w:spacing w:after="0"/>
              <w:rPr>
                <w:sz w:val="18"/>
                <w:szCs w:val="18"/>
                <w:color w:val="auto"/>
              </w:rPr>
            </w:pPr>
          </w:p>
        </w:tc>
        <w:tc>
          <w:tcPr>
            <w:tcW w:w="3540" w:type="dxa"/>
            <w:vAlign w:val="bottom"/>
            <w:gridSpan w:val="7"/>
          </w:tcPr>
          <w:p>
            <w:pPr>
              <w:spacing w:after="0"/>
              <w:rPr>
                <w:sz w:val="18"/>
                <w:szCs w:val="18"/>
                <w:color w:val="auto"/>
              </w:rPr>
            </w:pPr>
          </w:p>
        </w:tc>
        <w:tc>
          <w:tcPr>
            <w:tcW w:w="80" w:type="dxa"/>
            <w:vAlign w:val="bottom"/>
          </w:tcPr>
          <w:p>
            <w:pPr>
              <w:jc w:val="center"/>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22</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66">
              <w:r>
                <w:rPr>
                  <w:rFonts w:ascii="Arial" w:cs="Arial" w:eastAsia="Arial" w:hAnsi="Arial"/>
                  <w:sz w:val="18"/>
                  <w:szCs w:val="18"/>
                  <w:color w:val="0000FF"/>
                </w:rPr>
                <w:t>Description of Certain Indebtedness</w:t>
              </w:r>
            </w:hyperlink>
          </w:p>
        </w:tc>
        <w:tc>
          <w:tcPr>
            <w:tcW w:w="300" w:type="dxa"/>
            <w:vAlign w:val="bottom"/>
            <w:gridSpan w:val="5"/>
          </w:tcPr>
          <w:p>
            <w:pPr>
              <w:spacing w:after="0"/>
              <w:rPr>
                <w:rFonts w:ascii="Arial" w:cs="Arial" w:eastAsia="Arial" w:hAnsi="Arial"/>
                <w:sz w:val="18"/>
                <w:szCs w:val="18"/>
                <w:color w:val="0000FF"/>
                <w:w w:val="93"/>
              </w:rPr>
            </w:pPr>
            <w:hyperlink w:anchor="page166">
              <w:r>
                <w:rPr>
                  <w:rFonts w:ascii="Arial" w:cs="Arial" w:eastAsia="Arial" w:hAnsi="Arial"/>
                  <w:sz w:val="18"/>
                  <w:szCs w:val="18"/>
                  <w:color w:val="0000FF"/>
                  <w:w w:val="93"/>
                </w:rPr>
                <w:t>161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13"/>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Special Note Regarding Forward-Looking Statements</w:t>
              </w:r>
            </w:hyperlink>
          </w:p>
        </w:tc>
        <w:tc>
          <w:tcPr>
            <w:tcW w:w="80" w:type="dxa"/>
            <w:vAlign w:val="bottom"/>
          </w:tcPr>
          <w:p>
            <w:pPr>
              <w:jc w:val="center"/>
              <w:spacing w:after="0"/>
              <w:rPr>
                <w:rFonts w:ascii="Arial" w:cs="Arial" w:eastAsia="Arial" w:hAnsi="Arial"/>
                <w:sz w:val="15"/>
                <w:szCs w:val="15"/>
                <w:color w:val="0000FF"/>
                <w:w w:val="71"/>
              </w:rPr>
            </w:pPr>
            <w:hyperlink w:anchor="page72">
              <w:r>
                <w:rPr>
                  <w:rFonts w:ascii="Arial" w:cs="Arial" w:eastAsia="Arial" w:hAnsi="Arial"/>
                  <w:sz w:val="15"/>
                  <w:szCs w:val="15"/>
                  <w:color w:val="0000FF"/>
                  <w:w w:val="71"/>
                </w:rPr>
                <w:t>67</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69">
              <w:r>
                <w:rPr>
                  <w:rFonts w:ascii="Arial" w:cs="Arial" w:eastAsia="Arial" w:hAnsi="Arial"/>
                  <w:sz w:val="18"/>
                  <w:szCs w:val="18"/>
                  <w:color w:val="0000FF"/>
                </w:rPr>
                <w:t>Principal and Selling Stockholders</w:t>
              </w:r>
            </w:hyperlink>
          </w:p>
        </w:tc>
        <w:tc>
          <w:tcPr>
            <w:tcW w:w="300" w:type="dxa"/>
            <w:vAlign w:val="bottom"/>
            <w:gridSpan w:val="5"/>
          </w:tcPr>
          <w:p>
            <w:pPr>
              <w:spacing w:after="0"/>
              <w:rPr>
                <w:rFonts w:ascii="Arial" w:cs="Arial" w:eastAsia="Arial" w:hAnsi="Arial"/>
                <w:sz w:val="18"/>
                <w:szCs w:val="18"/>
                <w:color w:val="0000FF"/>
                <w:w w:val="93"/>
              </w:rPr>
            </w:pPr>
            <w:hyperlink w:anchor="page169">
              <w:r>
                <w:rPr>
                  <w:rFonts w:ascii="Arial" w:cs="Arial" w:eastAsia="Arial" w:hAnsi="Arial"/>
                  <w:sz w:val="18"/>
                  <w:szCs w:val="18"/>
                  <w:color w:val="0000FF"/>
                  <w:w w:val="93"/>
                </w:rPr>
                <w:t>164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5"/>
          </w:tcPr>
          <w:p>
            <w:pPr>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Use of Proceeds</w:t>
              </w:r>
            </w:hyperlink>
          </w:p>
        </w:tc>
        <w:tc>
          <w:tcPr>
            <w:tcW w:w="2700" w:type="dxa"/>
            <w:vAlign w:val="bottom"/>
            <w:gridSpan w:val="6"/>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jc w:val="center"/>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68</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71">
              <w:r>
                <w:rPr>
                  <w:rFonts w:ascii="Arial" w:cs="Arial" w:eastAsia="Arial" w:hAnsi="Arial"/>
                  <w:sz w:val="18"/>
                  <w:szCs w:val="18"/>
                  <w:color w:val="0000FF"/>
                </w:rPr>
                <w:t>Description of Capital Stock</w:t>
              </w:r>
            </w:hyperlink>
          </w:p>
        </w:tc>
        <w:tc>
          <w:tcPr>
            <w:tcW w:w="300" w:type="dxa"/>
            <w:vAlign w:val="bottom"/>
            <w:gridSpan w:val="5"/>
          </w:tcPr>
          <w:p>
            <w:pPr>
              <w:spacing w:after="0"/>
              <w:rPr>
                <w:rFonts w:ascii="Arial" w:cs="Arial" w:eastAsia="Arial" w:hAnsi="Arial"/>
                <w:sz w:val="18"/>
                <w:szCs w:val="18"/>
                <w:color w:val="0000FF"/>
                <w:w w:val="93"/>
              </w:rPr>
            </w:pPr>
            <w:hyperlink w:anchor="page171">
              <w:r>
                <w:rPr>
                  <w:rFonts w:ascii="Arial" w:cs="Arial" w:eastAsia="Arial" w:hAnsi="Arial"/>
                  <w:sz w:val="18"/>
                  <w:szCs w:val="18"/>
                  <w:color w:val="0000FF"/>
                  <w:w w:val="93"/>
                </w:rPr>
                <w:t>166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13"/>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Dividend Policy</w:t>
              </w:r>
            </w:hyperlink>
          </w:p>
        </w:tc>
        <w:tc>
          <w:tcPr>
            <w:tcW w:w="80" w:type="dxa"/>
            <w:vAlign w:val="bottom"/>
          </w:tcPr>
          <w:p>
            <w:pPr>
              <w:jc w:val="center"/>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69</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w w:val="98"/>
              </w:rPr>
            </w:pPr>
            <w:hyperlink w:anchor="page176">
              <w:r>
                <w:rPr>
                  <w:rFonts w:ascii="Arial" w:cs="Arial" w:eastAsia="Arial" w:hAnsi="Arial"/>
                  <w:sz w:val="18"/>
                  <w:szCs w:val="18"/>
                  <w:color w:val="0000FF"/>
                  <w:w w:val="98"/>
                </w:rPr>
                <w:t>Material U.S. Federal Tax Considerations for Non-U.S. Holders</w:t>
              </w:r>
            </w:hyperlink>
          </w:p>
        </w:tc>
        <w:tc>
          <w:tcPr>
            <w:tcW w:w="20" w:type="dxa"/>
            <w:vAlign w:val="bottom"/>
          </w:tcPr>
          <w:p>
            <w:pPr>
              <w:spacing w:after="0"/>
              <w:rPr>
                <w:sz w:val="18"/>
                <w:szCs w:val="18"/>
                <w:color w:val="auto"/>
              </w:rPr>
            </w:pPr>
          </w:p>
        </w:tc>
        <w:tc>
          <w:tcPr>
            <w:tcW w:w="240" w:type="dxa"/>
            <w:vAlign w:val="bottom"/>
            <w:gridSpan w:val="3"/>
            <w:vMerge w:val="restart"/>
          </w:tcPr>
          <w:p>
            <w:pPr>
              <w:spacing w:after="0"/>
              <w:rPr>
                <w:rFonts w:ascii="Arial" w:cs="Arial" w:eastAsia="Arial" w:hAnsi="Arial"/>
                <w:sz w:val="17"/>
                <w:szCs w:val="17"/>
                <w:color w:val="0000FF"/>
                <w:w w:val="70"/>
              </w:rPr>
            </w:pPr>
            <w:hyperlink w:anchor="page176">
              <w:r>
                <w:rPr>
                  <w:rFonts w:ascii="Arial" w:cs="Arial" w:eastAsia="Arial" w:hAnsi="Arial"/>
                  <w:sz w:val="17"/>
                  <w:szCs w:val="17"/>
                  <w:color w:val="0000FF"/>
                  <w:w w:val="70"/>
                </w:rPr>
                <w:t>171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FF"/>
            </w:tcBorders>
            <w:shd w:val="clear" w:color="auto" w:fill="0000FF"/>
          </w:tcPr>
          <w:p>
            <w:pPr>
              <w:spacing w:after="0" w:line="20" w:lineRule="exact"/>
              <w:rPr>
                <w:sz w:val="1"/>
                <w:szCs w:val="1"/>
                <w:color w:val="auto"/>
              </w:rPr>
            </w:pPr>
          </w:p>
        </w:tc>
        <w:tc>
          <w:tcPr>
            <w:tcW w:w="480" w:type="dxa"/>
            <w:vAlign w:val="bottom"/>
            <w:tcBorders>
              <w:top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top w:val="single" w:sz="8" w:color="0000FF"/>
            </w:tcBorders>
            <w:vMerge w:val="restart"/>
          </w:tcPr>
          <w:p>
            <w:pPr>
              <w:spacing w:after="0" w:line="20" w:lineRule="exact"/>
              <w:rPr>
                <w:sz w:val="1"/>
                <w:szCs w:val="1"/>
                <w:color w:val="auto"/>
              </w:rPr>
            </w:pPr>
          </w:p>
        </w:tc>
        <w:tc>
          <w:tcPr>
            <w:tcW w:w="1320" w:type="dxa"/>
            <w:vAlign w:val="bottom"/>
            <w:tcBorders>
              <w:top w:val="single" w:sz="8" w:color="0000FF"/>
            </w:tcBorders>
            <w:gridSpan w:val="3"/>
            <w:vMerge w:val="restart"/>
          </w:tcPr>
          <w:p>
            <w:pPr>
              <w:spacing w:after="0" w:line="142" w:lineRule="exact"/>
              <w:rPr>
                <w:rFonts w:ascii="Arial" w:cs="Arial" w:eastAsia="Arial" w:hAnsi="Arial"/>
                <w:sz w:val="16"/>
                <w:szCs w:val="16"/>
                <w:color w:val="0000FF"/>
              </w:rPr>
            </w:pPr>
            <w:hyperlink w:anchor="page176">
              <w:r>
                <w:rPr>
                  <w:rFonts w:ascii="Arial" w:cs="Arial" w:eastAsia="Arial" w:hAnsi="Arial"/>
                  <w:sz w:val="16"/>
                  <w:szCs w:val="16"/>
                  <w:color w:val="0000FF"/>
                </w:rPr>
                <w:t>of Common Stock</w:t>
              </w:r>
            </w:hyperlink>
          </w:p>
        </w:tc>
        <w:tc>
          <w:tcPr>
            <w:tcW w:w="740" w:type="dxa"/>
            <w:vAlign w:val="bottom"/>
            <w:tcBorders>
              <w:top w:val="single" w:sz="8" w:color="0000FF"/>
            </w:tcBorders>
            <w:gridSpan w:val="2"/>
            <w:vMerge w:val="restart"/>
          </w:tcPr>
          <w:p>
            <w:pPr>
              <w:spacing w:after="0" w:line="20" w:lineRule="exact"/>
              <w:rPr>
                <w:sz w:val="1"/>
                <w:szCs w:val="1"/>
                <w:color w:val="auto"/>
              </w:rPr>
            </w:pPr>
          </w:p>
        </w:tc>
        <w:tc>
          <w:tcPr>
            <w:tcW w:w="360" w:type="dxa"/>
            <w:vAlign w:val="bottom"/>
            <w:tcBorders>
              <w:top w:val="single" w:sz="8" w:color="0000FF"/>
            </w:tcBorders>
            <w:gridSpan w:val="2"/>
            <w:vMerge w:val="restart"/>
          </w:tcPr>
          <w:p>
            <w:pPr>
              <w:spacing w:after="0" w:line="20" w:lineRule="exact"/>
              <w:rPr>
                <w:sz w:val="1"/>
                <w:szCs w:val="1"/>
                <w:color w:val="auto"/>
              </w:rPr>
            </w:pPr>
          </w:p>
        </w:tc>
        <w:tc>
          <w:tcPr>
            <w:tcW w:w="280" w:type="dxa"/>
            <w:vAlign w:val="bottom"/>
            <w:tcBorders>
              <w:top w:val="single" w:sz="8" w:color="0000FF"/>
            </w:tcBorders>
            <w:vMerge w:val="restart"/>
          </w:tcPr>
          <w:p>
            <w:pPr>
              <w:spacing w:after="0" w:line="20" w:lineRule="exact"/>
              <w:rPr>
                <w:sz w:val="1"/>
                <w:szCs w:val="1"/>
                <w:color w:val="auto"/>
              </w:rPr>
            </w:pPr>
          </w:p>
        </w:tc>
        <w:tc>
          <w:tcPr>
            <w:tcW w:w="280" w:type="dxa"/>
            <w:vAlign w:val="bottom"/>
            <w:tcBorders>
              <w:top w:val="single" w:sz="8" w:color="0000FF"/>
            </w:tcBorders>
            <w:vMerge w:val="restart"/>
          </w:tcPr>
          <w:p>
            <w:pPr>
              <w:spacing w:after="0" w:line="20" w:lineRule="exact"/>
              <w:rPr>
                <w:sz w:val="1"/>
                <w:szCs w:val="1"/>
                <w:color w:val="auto"/>
              </w:rPr>
            </w:pPr>
          </w:p>
        </w:tc>
        <w:tc>
          <w:tcPr>
            <w:tcW w:w="1460" w:type="dxa"/>
            <w:vAlign w:val="bottom"/>
            <w:tcBorders>
              <w:top w:val="single" w:sz="8" w:color="0000FF"/>
            </w:tcBorders>
            <w:gridSpan w:val="2"/>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80" w:type="dxa"/>
            <w:vAlign w:val="bottom"/>
            <w:gridSpan w:val="13"/>
            <w:vMerge w:val="restart"/>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Selected Consolidated Financial Data</w:t>
              </w:r>
            </w:hyperlink>
          </w:p>
        </w:tc>
        <w:tc>
          <w:tcPr>
            <w:tcW w:w="80" w:type="dxa"/>
            <w:vAlign w:val="bottom"/>
            <w:vMerge w:val="restart"/>
          </w:tcPr>
          <w:p>
            <w:pPr>
              <w:jc w:val="center"/>
              <w:spacing w:after="0"/>
              <w:rPr>
                <w:rFonts w:ascii="Arial" w:cs="Arial" w:eastAsia="Arial" w:hAnsi="Arial"/>
                <w:sz w:val="15"/>
                <w:szCs w:val="15"/>
                <w:color w:val="0000FF"/>
                <w:w w:val="71"/>
              </w:rPr>
            </w:pPr>
            <w:hyperlink w:anchor="page75">
              <w:r>
                <w:rPr>
                  <w:rFonts w:ascii="Arial" w:cs="Arial" w:eastAsia="Arial" w:hAnsi="Arial"/>
                  <w:sz w:val="15"/>
                  <w:szCs w:val="15"/>
                  <w:color w:val="0000FF"/>
                  <w:w w:val="71"/>
                </w:rPr>
                <w:t>70</w:t>
              </w:r>
            </w:hyperlink>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Borders>
              <w:bottom w:val="single" w:sz="8" w:color="0000FF"/>
            </w:tcBorders>
            <w:vMerge w:val="continue"/>
          </w:tcPr>
          <w:p>
            <w:pPr>
              <w:spacing w:after="0"/>
              <w:rPr>
                <w:sz w:val="11"/>
                <w:szCs w:val="11"/>
                <w:color w:val="auto"/>
              </w:rPr>
            </w:pPr>
          </w:p>
        </w:tc>
        <w:tc>
          <w:tcPr>
            <w:tcW w:w="1320" w:type="dxa"/>
            <w:vAlign w:val="bottom"/>
            <w:tcBorders>
              <w:bottom w:val="single" w:sz="8" w:color="0000FF"/>
            </w:tcBorders>
            <w:gridSpan w:val="3"/>
            <w:vMerge w:val="continue"/>
          </w:tcPr>
          <w:p>
            <w:pPr>
              <w:spacing w:after="0"/>
              <w:rPr>
                <w:sz w:val="11"/>
                <w:szCs w:val="11"/>
                <w:color w:val="auto"/>
              </w:rPr>
            </w:pPr>
          </w:p>
        </w:tc>
        <w:tc>
          <w:tcPr>
            <w:tcW w:w="740" w:type="dxa"/>
            <w:vAlign w:val="bottom"/>
            <w:tcBorders>
              <w:bottom w:val="single" w:sz="8" w:color="0000FF"/>
            </w:tcBorders>
            <w:gridSpan w:val="2"/>
            <w:vMerge w:val="continue"/>
          </w:tcPr>
          <w:p>
            <w:pPr>
              <w:spacing w:after="0"/>
              <w:rPr>
                <w:sz w:val="11"/>
                <w:szCs w:val="11"/>
                <w:color w:val="auto"/>
              </w:rPr>
            </w:pPr>
          </w:p>
        </w:tc>
        <w:tc>
          <w:tcPr>
            <w:tcW w:w="360" w:type="dxa"/>
            <w:vAlign w:val="bottom"/>
            <w:tcBorders>
              <w:bottom w:val="single" w:sz="8" w:color="0000FF"/>
            </w:tcBorders>
            <w:gridSpan w:val="2"/>
            <w:vMerge w:val="continue"/>
          </w:tcPr>
          <w:p>
            <w:pPr>
              <w:spacing w:after="0"/>
              <w:rPr>
                <w:sz w:val="11"/>
                <w:szCs w:val="11"/>
                <w:color w:val="auto"/>
              </w:rPr>
            </w:pPr>
          </w:p>
        </w:tc>
        <w:tc>
          <w:tcPr>
            <w:tcW w:w="280" w:type="dxa"/>
            <w:vAlign w:val="bottom"/>
            <w:tcBorders>
              <w:bottom w:val="single" w:sz="8" w:color="0000FF"/>
            </w:tcBorders>
            <w:vMerge w:val="continue"/>
          </w:tcPr>
          <w:p>
            <w:pPr>
              <w:spacing w:after="0"/>
              <w:rPr>
                <w:sz w:val="11"/>
                <w:szCs w:val="11"/>
                <w:color w:val="auto"/>
              </w:rPr>
            </w:pPr>
          </w:p>
        </w:tc>
        <w:tc>
          <w:tcPr>
            <w:tcW w:w="280" w:type="dxa"/>
            <w:vAlign w:val="bottom"/>
            <w:tcBorders>
              <w:bottom w:val="single" w:sz="8" w:color="0000FF"/>
            </w:tcBorders>
            <w:vMerge w:val="continue"/>
          </w:tcPr>
          <w:p>
            <w:pPr>
              <w:spacing w:after="0"/>
              <w:rPr>
                <w:sz w:val="11"/>
                <w:szCs w:val="11"/>
                <w:color w:val="auto"/>
              </w:rPr>
            </w:pPr>
          </w:p>
        </w:tc>
        <w:tc>
          <w:tcPr>
            <w:tcW w:w="1460" w:type="dxa"/>
            <w:vAlign w:val="bottom"/>
            <w:tcBorders>
              <w:bottom w:val="single" w:sz="8" w:color="0000FF"/>
            </w:tcBorders>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40" w:type="dxa"/>
            <w:vAlign w:val="bottom"/>
            <w:tcBorders>
              <w:bottom w:val="single" w:sz="8" w:color="0000FF"/>
            </w:tcBorders>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5080" w:type="dxa"/>
            <w:vAlign w:val="bottom"/>
            <w:gridSpan w:val="13"/>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gridSpan w:val="6"/>
            <w:vMerge w:val="restart"/>
          </w:tcPr>
          <w:p>
            <w:pPr>
              <w:spacing w:after="0" w:line="196" w:lineRule="exact"/>
              <w:rPr>
                <w:rFonts w:ascii="Arial" w:cs="Arial" w:eastAsia="Arial" w:hAnsi="Arial"/>
                <w:sz w:val="18"/>
                <w:szCs w:val="18"/>
                <w:color w:val="0000FF"/>
                <w:w w:val="90"/>
              </w:rPr>
            </w:pPr>
            <w:hyperlink w:anchor="page179">
              <w:r>
                <w:rPr>
                  <w:rFonts w:ascii="Arial" w:cs="Arial" w:eastAsia="Arial" w:hAnsi="Arial"/>
                  <w:sz w:val="18"/>
                  <w:szCs w:val="18"/>
                  <w:color w:val="0000FF"/>
                  <w:w w:val="90"/>
                </w:rPr>
                <w:t>Shares Eligible for Future Sale</w:t>
              </w:r>
            </w:hyperlink>
          </w:p>
        </w:tc>
        <w:tc>
          <w:tcPr>
            <w:tcW w:w="360" w:type="dxa"/>
            <w:vAlign w:val="bottom"/>
            <w:gridSpan w:val="2"/>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40" w:type="dxa"/>
            <w:vAlign w:val="bottom"/>
            <w:gridSpan w:val="3"/>
            <w:vMerge w:val="restart"/>
          </w:tcPr>
          <w:p>
            <w:pPr>
              <w:spacing w:after="0"/>
              <w:rPr>
                <w:rFonts w:ascii="Arial" w:cs="Arial" w:eastAsia="Arial" w:hAnsi="Arial"/>
                <w:sz w:val="17"/>
                <w:szCs w:val="17"/>
                <w:color w:val="0000FF"/>
                <w:w w:val="70"/>
              </w:rPr>
            </w:pPr>
            <w:hyperlink w:anchor="page179">
              <w:r>
                <w:rPr>
                  <w:rFonts w:ascii="Arial" w:cs="Arial" w:eastAsia="Arial" w:hAnsi="Arial"/>
                  <w:sz w:val="17"/>
                  <w:szCs w:val="17"/>
                  <w:color w:val="0000FF"/>
                  <w:w w:val="70"/>
                </w:rPr>
                <w:t>174</w:t>
              </w:r>
            </w:hyperlink>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20" w:type="dxa"/>
            <w:vAlign w:val="bottom"/>
            <w:gridSpan w:val="6"/>
            <w:vMerge w:val="continue"/>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80" w:type="dxa"/>
            <w:vAlign w:val="bottom"/>
            <w:gridSpan w:val="13"/>
            <w:vMerge w:val="restart"/>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Management’s Discussion and Analysis of Financial Condition</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220" w:type="dxa"/>
            <w:vAlign w:val="bottom"/>
            <w:tcBorders>
              <w:bottom w:val="single" w:sz="8" w:color="0000FF"/>
            </w:tcBorders>
            <w:gridSpan w:val="6"/>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080" w:type="dxa"/>
            <w:vAlign w:val="bottom"/>
            <w:gridSpan w:val="13"/>
            <w:vMerge w:val="continue"/>
          </w:tcPr>
          <w:p>
            <w:pPr>
              <w:spacing w:after="0"/>
              <w:rPr>
                <w:sz w:val="2"/>
                <w:szCs w:val="2"/>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80">
              <w:r>
                <w:rPr>
                  <w:rFonts w:ascii="Arial" w:cs="Arial" w:eastAsia="Arial" w:hAnsi="Arial"/>
                  <w:sz w:val="15"/>
                  <w:szCs w:val="15"/>
                  <w:color w:val="0000FF"/>
                  <w:w w:val="71"/>
                </w:rPr>
                <w:t>75</w:t>
              </w:r>
            </w:hyperlink>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160" w:type="dxa"/>
            <w:vAlign w:val="bottom"/>
            <w:gridSpan w:val="14"/>
            <w:vMerge w:val="restart"/>
          </w:tcPr>
          <w:p>
            <w:pPr>
              <w:ind w:left="180"/>
              <w:spacing w:after="0"/>
              <w:rPr>
                <w:rFonts w:ascii="Arial" w:cs="Arial" w:eastAsia="Arial" w:hAnsi="Arial"/>
                <w:sz w:val="18"/>
                <w:szCs w:val="18"/>
                <w:color w:val="0000FF"/>
              </w:rPr>
            </w:pPr>
            <w:hyperlink w:anchor="page181">
              <w:r>
                <w:rPr>
                  <w:rFonts w:ascii="Arial" w:cs="Arial" w:eastAsia="Arial" w:hAnsi="Arial"/>
                  <w:sz w:val="18"/>
                  <w:szCs w:val="18"/>
                  <w:color w:val="0000FF"/>
                </w:rPr>
                <w:t>Underwriting (Conflicts of Interest)</w:t>
              </w:r>
            </w:hyperlink>
          </w:p>
        </w:tc>
        <w:tc>
          <w:tcPr>
            <w:tcW w:w="300" w:type="dxa"/>
            <w:vAlign w:val="bottom"/>
            <w:gridSpan w:val="5"/>
            <w:vMerge w:val="restart"/>
          </w:tcPr>
          <w:p>
            <w:pPr>
              <w:spacing w:after="0"/>
              <w:rPr>
                <w:rFonts w:ascii="Arial" w:cs="Arial" w:eastAsia="Arial" w:hAnsi="Arial"/>
                <w:sz w:val="18"/>
                <w:szCs w:val="18"/>
                <w:color w:val="0000FF"/>
                <w:w w:val="93"/>
              </w:rPr>
            </w:pPr>
            <w:hyperlink w:anchor="page181">
              <w:r>
                <w:rPr>
                  <w:rFonts w:ascii="Arial" w:cs="Arial" w:eastAsia="Arial" w:hAnsi="Arial"/>
                  <w:sz w:val="18"/>
                  <w:szCs w:val="18"/>
                  <w:color w:val="0000FF"/>
                  <w:w w:val="93"/>
                </w:rPr>
                <w:t>176</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and Results of Operations</w:t>
              </w:r>
            </w:hyperlink>
          </w:p>
        </w:tc>
        <w:tc>
          <w:tcPr>
            <w:tcW w:w="2520" w:type="dxa"/>
            <w:vAlign w:val="bottom"/>
            <w:tcBorders>
              <w:top w:val="single" w:sz="8" w:color="0000FF"/>
            </w:tcBorders>
            <w:gridSpan w:val="4"/>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60" w:type="dxa"/>
            <w:vAlign w:val="bottom"/>
            <w:gridSpan w:val="14"/>
            <w:vMerge w:val="continue"/>
          </w:tcPr>
          <w:p>
            <w:pPr>
              <w:spacing w:after="0"/>
              <w:rPr>
                <w:sz w:val="13"/>
                <w:szCs w:val="13"/>
                <w:color w:val="auto"/>
              </w:rPr>
            </w:pPr>
          </w:p>
        </w:tc>
        <w:tc>
          <w:tcPr>
            <w:tcW w:w="3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13"/>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Business</w:t>
              </w:r>
            </w:hyperlink>
          </w:p>
        </w:tc>
        <w:tc>
          <w:tcPr>
            <w:tcW w:w="180" w:type="dxa"/>
            <w:vAlign w:val="bottom"/>
            <w:gridSpan w:val="2"/>
          </w:tcPr>
          <w:p>
            <w:pPr>
              <w:jc w:val="center"/>
              <w:spacing w:after="0"/>
              <w:rPr>
                <w:rFonts w:ascii="Arial" w:cs="Arial" w:eastAsia="Arial" w:hAnsi="Arial"/>
                <w:sz w:val="15"/>
                <w:szCs w:val="15"/>
                <w:color w:val="0000FF"/>
                <w:w w:val="71"/>
              </w:rPr>
            </w:pPr>
            <w:hyperlink w:anchor="page108">
              <w:r>
                <w:rPr>
                  <w:rFonts w:ascii="Arial" w:cs="Arial" w:eastAsia="Arial" w:hAnsi="Arial"/>
                  <w:sz w:val="15"/>
                  <w:szCs w:val="15"/>
                  <w:color w:val="0000FF"/>
                  <w:w w:val="71"/>
                </w:rPr>
                <w:t>103</w:t>
              </w:r>
            </w:hyperlink>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89">
              <w:r>
                <w:rPr>
                  <w:rFonts w:ascii="Arial" w:cs="Arial" w:eastAsia="Arial" w:hAnsi="Arial"/>
                  <w:sz w:val="18"/>
                  <w:szCs w:val="18"/>
                  <w:color w:val="0000FF"/>
                </w:rPr>
                <w:t>Legal Matters</w:t>
              </w:r>
            </w:hyperlink>
          </w:p>
        </w:tc>
        <w:tc>
          <w:tcPr>
            <w:tcW w:w="300" w:type="dxa"/>
            <w:vAlign w:val="bottom"/>
            <w:gridSpan w:val="5"/>
          </w:tcPr>
          <w:p>
            <w:pPr>
              <w:spacing w:after="0"/>
              <w:rPr>
                <w:rFonts w:ascii="Arial" w:cs="Arial" w:eastAsia="Arial" w:hAnsi="Arial"/>
                <w:sz w:val="18"/>
                <w:szCs w:val="18"/>
                <w:color w:val="0000FF"/>
                <w:w w:val="93"/>
              </w:rPr>
            </w:pPr>
            <w:hyperlink w:anchor="page189">
              <w:r>
                <w:rPr>
                  <w:rFonts w:ascii="Arial" w:cs="Arial" w:eastAsia="Arial" w:hAnsi="Arial"/>
                  <w:sz w:val="18"/>
                  <w:szCs w:val="18"/>
                  <w:color w:val="0000FF"/>
                  <w:w w:val="93"/>
                </w:rPr>
                <w:t>184</w:t>
              </w:r>
            </w:hyperlink>
          </w:p>
        </w:tc>
        <w:tc>
          <w:tcPr>
            <w:tcW w:w="0" w:type="dxa"/>
            <w:vAlign w:val="bottom"/>
          </w:tcPr>
          <w:p>
            <w:pPr>
              <w:spacing w:after="0"/>
              <w:rPr>
                <w:sz w:val="1"/>
                <w:szCs w:val="1"/>
                <w:color w:val="auto"/>
              </w:rPr>
            </w:pPr>
          </w:p>
        </w:tc>
      </w:tr>
      <w:tr>
        <w:trPr>
          <w:trHeight w:val="20"/>
        </w:trPr>
        <w:tc>
          <w:tcPr>
            <w:tcW w:w="508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13"/>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Management</w:t>
              </w:r>
            </w:hyperlink>
          </w:p>
        </w:tc>
        <w:tc>
          <w:tcPr>
            <w:tcW w:w="180" w:type="dxa"/>
            <w:vAlign w:val="bottom"/>
            <w:gridSpan w:val="2"/>
          </w:tcPr>
          <w:p>
            <w:pPr>
              <w:jc w:val="center"/>
              <w:spacing w:after="0"/>
              <w:rPr>
                <w:rFonts w:ascii="Arial" w:cs="Arial" w:eastAsia="Arial" w:hAnsi="Arial"/>
                <w:sz w:val="15"/>
                <w:szCs w:val="15"/>
                <w:color w:val="0000FF"/>
                <w:w w:val="71"/>
              </w:rPr>
            </w:pPr>
            <w:hyperlink w:anchor="page150">
              <w:r>
                <w:rPr>
                  <w:rFonts w:ascii="Arial" w:cs="Arial" w:eastAsia="Arial" w:hAnsi="Arial"/>
                  <w:sz w:val="15"/>
                  <w:szCs w:val="15"/>
                  <w:color w:val="0000FF"/>
                  <w:w w:val="71"/>
                </w:rPr>
                <w:t>145</w:t>
              </w:r>
            </w:hyperlink>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90">
              <w:r>
                <w:rPr>
                  <w:rFonts w:ascii="Arial" w:cs="Arial" w:eastAsia="Arial" w:hAnsi="Arial"/>
                  <w:sz w:val="18"/>
                  <w:szCs w:val="18"/>
                  <w:color w:val="0000FF"/>
                </w:rPr>
                <w:t>Experts</w:t>
              </w:r>
            </w:hyperlink>
          </w:p>
        </w:tc>
        <w:tc>
          <w:tcPr>
            <w:tcW w:w="300" w:type="dxa"/>
            <w:vAlign w:val="bottom"/>
            <w:gridSpan w:val="5"/>
          </w:tcPr>
          <w:p>
            <w:pPr>
              <w:spacing w:after="0"/>
              <w:rPr>
                <w:rFonts w:ascii="Arial" w:cs="Arial" w:eastAsia="Arial" w:hAnsi="Arial"/>
                <w:sz w:val="18"/>
                <w:szCs w:val="18"/>
                <w:color w:val="0000FF"/>
                <w:w w:val="93"/>
              </w:rPr>
            </w:pPr>
            <w:hyperlink w:anchor="page190">
              <w:r>
                <w:rPr>
                  <w:rFonts w:ascii="Arial" w:cs="Arial" w:eastAsia="Arial" w:hAnsi="Arial"/>
                  <w:sz w:val="18"/>
                  <w:szCs w:val="18"/>
                  <w:color w:val="0000FF"/>
                  <w:w w:val="93"/>
                </w:rPr>
                <w:t>184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13"/>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Executive Compensation</w:t>
              </w:r>
            </w:hyperlink>
          </w:p>
        </w:tc>
        <w:tc>
          <w:tcPr>
            <w:tcW w:w="180" w:type="dxa"/>
            <w:vAlign w:val="bottom"/>
            <w:gridSpan w:val="2"/>
          </w:tcPr>
          <w:p>
            <w:pPr>
              <w:jc w:val="center"/>
              <w:spacing w:after="0"/>
              <w:rPr>
                <w:rFonts w:ascii="Arial" w:cs="Arial" w:eastAsia="Arial" w:hAnsi="Arial"/>
                <w:sz w:val="15"/>
                <w:szCs w:val="15"/>
                <w:color w:val="0000FF"/>
                <w:w w:val="71"/>
              </w:rPr>
            </w:pPr>
            <w:hyperlink w:anchor="page156">
              <w:r>
                <w:rPr>
                  <w:rFonts w:ascii="Arial" w:cs="Arial" w:eastAsia="Arial" w:hAnsi="Arial"/>
                  <w:sz w:val="15"/>
                  <w:szCs w:val="15"/>
                  <w:color w:val="0000FF"/>
                  <w:w w:val="71"/>
                </w:rPr>
                <w:t>151</w:t>
              </w:r>
            </w:hyperlink>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90">
              <w:r>
                <w:rPr>
                  <w:rFonts w:ascii="Arial" w:cs="Arial" w:eastAsia="Arial" w:hAnsi="Arial"/>
                  <w:sz w:val="18"/>
                  <w:szCs w:val="18"/>
                  <w:color w:val="0000FF"/>
                </w:rPr>
                <w:t>Where You Can Find More Information</w:t>
              </w:r>
            </w:hyperlink>
          </w:p>
        </w:tc>
        <w:tc>
          <w:tcPr>
            <w:tcW w:w="300" w:type="dxa"/>
            <w:vAlign w:val="bottom"/>
            <w:gridSpan w:val="5"/>
          </w:tcPr>
          <w:p>
            <w:pPr>
              <w:spacing w:after="0"/>
              <w:rPr>
                <w:rFonts w:ascii="Arial" w:cs="Arial" w:eastAsia="Arial" w:hAnsi="Arial"/>
                <w:sz w:val="18"/>
                <w:szCs w:val="18"/>
                <w:color w:val="0000FF"/>
                <w:w w:val="93"/>
              </w:rPr>
            </w:pPr>
            <w:hyperlink w:anchor="page190">
              <w:r>
                <w:rPr>
                  <w:rFonts w:ascii="Arial" w:cs="Arial" w:eastAsia="Arial" w:hAnsi="Arial"/>
                  <w:sz w:val="18"/>
                  <w:szCs w:val="18"/>
                  <w:color w:val="0000FF"/>
                  <w:w w:val="93"/>
                </w:rPr>
                <w:t>184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13"/>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Outstanding Equity Awards at 2020 Fiscal Year End</w:t>
              </w:r>
            </w:hyperlink>
          </w:p>
        </w:tc>
        <w:tc>
          <w:tcPr>
            <w:tcW w:w="180" w:type="dxa"/>
            <w:vAlign w:val="bottom"/>
            <w:gridSpan w:val="2"/>
          </w:tcPr>
          <w:p>
            <w:pPr>
              <w:jc w:val="center"/>
              <w:spacing w:after="0"/>
              <w:rPr>
                <w:rFonts w:ascii="Arial" w:cs="Arial" w:eastAsia="Arial" w:hAnsi="Arial"/>
                <w:sz w:val="15"/>
                <w:szCs w:val="15"/>
                <w:color w:val="0000FF"/>
                <w:w w:val="71"/>
              </w:rPr>
            </w:pPr>
            <w:hyperlink w:anchor="page159">
              <w:r>
                <w:rPr>
                  <w:rFonts w:ascii="Arial" w:cs="Arial" w:eastAsia="Arial" w:hAnsi="Arial"/>
                  <w:sz w:val="15"/>
                  <w:szCs w:val="15"/>
                  <w:color w:val="0000FF"/>
                  <w:w w:val="71"/>
                </w:rPr>
                <w:t>154</w:t>
              </w:r>
            </w:hyperlink>
          </w:p>
        </w:tc>
        <w:tc>
          <w:tcPr>
            <w:tcW w:w="180" w:type="dxa"/>
            <w:vAlign w:val="bottom"/>
          </w:tcPr>
          <w:p>
            <w:pPr>
              <w:spacing w:after="0"/>
              <w:rPr>
                <w:sz w:val="18"/>
                <w:szCs w:val="18"/>
                <w:color w:val="auto"/>
              </w:rPr>
            </w:pPr>
          </w:p>
        </w:tc>
        <w:tc>
          <w:tcPr>
            <w:tcW w:w="5160" w:type="dxa"/>
            <w:vAlign w:val="bottom"/>
            <w:gridSpan w:val="14"/>
          </w:tcPr>
          <w:p>
            <w:pPr>
              <w:ind w:left="180"/>
              <w:spacing w:after="0"/>
              <w:rPr>
                <w:rFonts w:ascii="Arial" w:cs="Arial" w:eastAsia="Arial" w:hAnsi="Arial"/>
                <w:sz w:val="18"/>
                <w:szCs w:val="18"/>
                <w:color w:val="0000FF"/>
              </w:rPr>
            </w:pPr>
            <w:hyperlink w:anchor="page190">
              <w:r>
                <w:rPr>
                  <w:rFonts w:ascii="Arial" w:cs="Arial" w:eastAsia="Arial" w:hAnsi="Arial"/>
                  <w:sz w:val="18"/>
                  <w:szCs w:val="18"/>
                  <w:color w:val="0000FF"/>
                </w:rPr>
                <w:t>Index to Consolidated Financial Statements</w:t>
              </w:r>
            </w:hyperlink>
          </w:p>
        </w:tc>
        <w:tc>
          <w:tcPr>
            <w:tcW w:w="20" w:type="dxa"/>
            <w:vAlign w:val="bottom"/>
          </w:tcPr>
          <w:p>
            <w:pPr>
              <w:spacing w:after="0"/>
              <w:rPr>
                <w:sz w:val="18"/>
                <w:szCs w:val="18"/>
                <w:color w:val="auto"/>
              </w:rPr>
            </w:pPr>
          </w:p>
        </w:tc>
        <w:tc>
          <w:tcPr>
            <w:tcW w:w="280" w:type="dxa"/>
            <w:vAlign w:val="bottom"/>
            <w:gridSpan w:val="4"/>
          </w:tcPr>
          <w:p>
            <w:pPr>
              <w:spacing w:after="0"/>
              <w:rPr>
                <w:rFonts w:ascii="Arial" w:cs="Arial" w:eastAsia="Arial" w:hAnsi="Arial"/>
                <w:sz w:val="18"/>
                <w:szCs w:val="18"/>
                <w:color w:val="0000FF"/>
                <w:w w:val="96"/>
              </w:rPr>
            </w:pPr>
            <w:hyperlink w:anchor="page190">
              <w:r>
                <w:rPr>
                  <w:rFonts w:ascii="Arial" w:cs="Arial" w:eastAsia="Arial" w:hAnsi="Arial"/>
                  <w:sz w:val="18"/>
                  <w:szCs w:val="18"/>
                  <w:color w:val="0000FF"/>
                  <w:w w:val="96"/>
                </w:rPr>
                <w:t>F</w:t>
              </w:r>
            </w:hyperlink>
            <w:r>
              <w:rPr>
                <w:rFonts w:ascii="Arial" w:cs="Arial" w:eastAsia="Arial" w:hAnsi="Arial"/>
                <w:sz w:val="18"/>
                <w:szCs w:val="18"/>
                <w:color w:val="0000FF"/>
                <w:w w:val="96"/>
              </w:rPr>
              <w:t>-</w:t>
            </w:r>
            <w:hyperlink w:anchor="page190">
              <w:r>
                <w:rPr>
                  <w:rFonts w:ascii="Arial" w:cs="Arial" w:eastAsia="Arial" w:hAnsi="Arial"/>
                  <w:sz w:val="18"/>
                  <w:szCs w:val="18"/>
                  <w:color w:val="0000FF"/>
                  <w:w w:val="96"/>
                </w:rPr>
                <w:t>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231140</wp:posOffset>
            </wp:positionV>
            <wp:extent cx="1517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this prospectus, “Privia,” “Privia Health,” the “Company,” “we,” “us” and “our” refer to Privia Health Group, Inc. and its consolidated subsidiaries. We, the selling shareholders and the underwriters have not authorized anyone to provide any information or to make any representations other than those contained in this prospectus or in any free writing prospectuses we have prepared. We, the selling shareholders and the underwriters take no responsibility for, and can provide no assurance as to the reliability of, any other information that others may provide you. The selling shareholders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This summary does not contain all of the information that you should consider before investing in our common stock. For a more complete understanding of us and this offering, you should read and carefully consider the entire prospectus, including the more detailed information set forth under “Risk Factors” and “Management’s Discussion and Analysis of Financial Condition and Results of Operations” and our consolidated financial statements and the related notes, before making an investment decision. Some of the statements in this prospectus are forward- looking statements. See “Forward-Looking Statements.” Unless the context is otherwise required, all references in this prospectus to “Privia,” “Privia Health,” the “Company,” “we,” “us” and “our” refer to Privia Health Group, Inc. and its consolidated subsidiaries.</w:t>
      </w:r>
    </w:p>
    <w:p>
      <w:pPr>
        <w:spacing w:after="0" w:line="11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(the “Privia Platform”). We directly address three of the most pressing issues facing physicians today: the transition to the value-based care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(each, a “Medical Group”) with significant local autonomy for the physicians (collectively, “Privia Physicians”) and non-physician clinicians (collectively “Privia Clinicians” and, together with the Privia Physicians, the “Privia Providers”) joining our Medical Groups. Our Medical Groups are designated as in-network by all major health insurance plans in all of our markets, and all Privia Providers are credentialed with such health insurance plans.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platform is purpose-built, organizing physicians into cost efficient, value-based and primary-care centric networks bolstered by strong physician governance, and promotes a culture of physician leadership. The Privia Platform is powered by our proprietary end-to-end, cloud-based technology solution that integrates both Privia-developed and third-party applications into a seamless interface and workflow that manages all aspects of our Privia Physicians’ provision of healthcare services (the “Privia Technology Solution”). We enhance the patient experience, improve practice economics and influence point of care delivery through investments in data analytics, revenue cycle management (“RCM”), practice and clinical operations and payer alignment. The Privia Platform is designed to succeed across demographic cohorts, acuity levels and reimbursement models, including traditional fee-for-service (“FFS”) Medicare, the Medicare Shared Savings Program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has rapidly become one of the nation’s leading independent physician companies since launching our first Medical Group in 2013.</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71" w:lineRule="exact"/>
        <w:rPr>
          <w:sz w:val="20"/>
          <w:szCs w:val="20"/>
          <w:color w:val="auto"/>
        </w:rPr>
      </w:pPr>
    </w:p>
    <w:p>
      <w:pPr>
        <w:ind w:left="640" w:right="20" w:hanging="322"/>
        <w:spacing w:after="0" w:line="27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Privia Platform is powered by the Privia Technology Solution, which efficiently manages all aspects of our Privia Physicians’ provision of healthcare services and eliminates the complexity and reduces the cost of otherwise having to buy more than 30 point solutions. The intended result is engaged Privia Providers delivering high quality virtual and in-person healthcare to patients with superior clinical outcomes and experiences at lower costs. We believe our technology-enabled platform is highly scalable, allowing us to both rapidly build density in new</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 the United States,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multiple types of physician practices given our significant value proposition and our comprehensive solution set.</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 term growth, with attractive margins and attractive returns on invested capital. The Privia Platform has the following key attributes:</w:t>
      </w:r>
    </w:p>
    <w:p>
      <w:pPr>
        <w:spacing w:after="0" w:line="112" w:lineRule="exact"/>
        <w:rPr>
          <w:sz w:val="20"/>
          <w:szCs w:val="20"/>
          <w:color w:val="auto"/>
        </w:rPr>
      </w:pPr>
    </w:p>
    <w:p>
      <w:pPr>
        <w:ind w:left="640" w:right="20" w:hanging="322"/>
        <w:spacing w:after="0" w:line="31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Addresses a Large Total Addressable Market: </w:t>
      </w:r>
      <w:r>
        <w:rPr>
          <w:rFonts w:ascii="Arial" w:cs="Arial" w:eastAsia="Arial" w:hAnsi="Arial"/>
          <w:sz w:val="17"/>
          <w:szCs w:val="17"/>
          <w:color w:val="auto"/>
        </w:rPr>
        <w:t>Targets a large and growing total addressable market (“TAM”)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(physician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enablement market estimated to be $1.9 trillion, with an ability to serve over 1 million providers in the U.S.).</w:t>
      </w:r>
    </w:p>
    <w:p>
      <w:pPr>
        <w:spacing w:after="0" w:line="85" w:lineRule="exact"/>
        <w:rPr>
          <w:rFonts w:ascii="Arial" w:cs="Arial" w:eastAsia="Arial" w:hAnsi="Arial"/>
          <w:sz w:val="17"/>
          <w:szCs w:val="17"/>
          <w:color w:val="auto"/>
        </w:rPr>
      </w:pPr>
    </w:p>
    <w:p>
      <w:pPr>
        <w:ind w:left="640" w:hanging="322"/>
        <w:spacing w:after="0" w:line="28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485,000 primary care physicians and more than 535,000 physician specialists in the U.S.).</w:t>
      </w:r>
    </w:p>
    <w:p>
      <w:pPr>
        <w:spacing w:after="0" w:line="107" w:lineRule="exact"/>
        <w:rPr>
          <w:rFonts w:ascii="Arial" w:cs="Arial" w:eastAsia="Arial" w:hAnsi="Arial"/>
          <w:sz w:val="18"/>
          <w:szCs w:val="18"/>
          <w:color w:val="auto"/>
        </w:rPr>
      </w:pPr>
    </w:p>
    <w:p>
      <w:pPr>
        <w:jc w:val="both"/>
        <w:ind w:left="640" w:right="20" w:hanging="322"/>
        <w:spacing w:after="0" w:line="26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provider workflow across the full continuum of reimbursement environments as well as both virtual and in-person care settings </w:t>
      </w:r>
      <w:r>
        <w:rPr>
          <w:rFonts w:ascii="Arial" w:cs="Arial" w:eastAsia="Arial" w:hAnsi="Arial"/>
          <w:sz w:val="18"/>
          <w:szCs w:val="18"/>
          <w:i w:val="1"/>
          <w:iCs w:val="1"/>
          <w:color w:val="auto"/>
        </w:rPr>
        <w:t>(eliminates the need to buy and integrate more than 30 point solutions).</w:t>
      </w:r>
    </w:p>
    <w:p>
      <w:pPr>
        <w:spacing w:after="0" w:line="121" w:lineRule="exact"/>
        <w:rPr>
          <w:rFonts w:ascii="Arial" w:cs="Arial" w:eastAsia="Arial" w:hAnsi="Arial"/>
          <w:sz w:val="18"/>
          <w:szCs w:val="18"/>
          <w:color w:val="auto"/>
        </w:rPr>
      </w:pPr>
    </w:p>
    <w:p>
      <w:pPr>
        <w:jc w:val="both"/>
        <w:ind w:left="640" w:right="20" w:hanging="322"/>
        <w:spacing w:after="0" w:line="26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payers and patients </w:t>
      </w:r>
      <w:r>
        <w:rPr>
          <w:rFonts w:ascii="Arial" w:cs="Arial" w:eastAsia="Arial" w:hAnsi="Arial"/>
          <w:sz w:val="18"/>
          <w:szCs w:val="18"/>
          <w:i w:val="1"/>
          <w:iCs w:val="1"/>
          <w:color w:val="auto"/>
        </w:rPr>
        <w:t>(over 850 care center locations across seven states and the District of Columbia, targeting over 100</w:t>
      </w:r>
      <w:r>
        <w:rPr>
          <w:rFonts w:ascii="Arial" w:cs="Arial" w:eastAsia="Arial" w:hAnsi="Arial"/>
          <w:sz w:val="18"/>
          <w:szCs w:val="18"/>
          <w:color w:val="auto"/>
        </w:rPr>
        <w:t xml:space="preserve"> </w:t>
      </w:r>
      <w:r>
        <w:rPr>
          <w:rFonts w:ascii="Arial" w:cs="Arial" w:eastAsia="Arial" w:hAnsi="Arial"/>
          <w:sz w:val="18"/>
          <w:szCs w:val="18"/>
          <w:i w:val="1"/>
          <w:iCs w:val="1"/>
          <w:color w:val="auto"/>
        </w:rPr>
        <w:t>metropolitan statistical areas (“MPSAs”) located within those geographical markets).</w:t>
      </w:r>
    </w:p>
    <w:p>
      <w:pPr>
        <w:spacing w:after="0" w:line="121" w:lineRule="exact"/>
        <w:rPr>
          <w:rFonts w:ascii="Arial" w:cs="Arial" w:eastAsia="Arial" w:hAnsi="Arial"/>
          <w:sz w:val="18"/>
          <w:szCs w:val="18"/>
          <w:color w:val="auto"/>
        </w:rPr>
      </w:pPr>
    </w:p>
    <w:p>
      <w:pPr>
        <w:jc w:val="both"/>
        <w:ind w:left="640" w:right="2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care model and ability of Privia Providers to manage higher risk patients </w:t>
      </w:r>
      <w:r>
        <w:rPr>
          <w:rFonts w:ascii="Arial" w:cs="Arial" w:eastAsia="Arial" w:hAnsi="Arial"/>
          <w:sz w:val="18"/>
          <w:szCs w:val="18"/>
          <w:i w:val="1"/>
          <w:iCs w:val="1"/>
          <w:color w:val="auto"/>
        </w:rPr>
        <w:t>(more than $575 million total savings generated</w:t>
      </w:r>
      <w:r>
        <w:rPr>
          <w:rFonts w:ascii="Arial" w:cs="Arial" w:eastAsia="Arial" w:hAnsi="Arial"/>
          <w:sz w:val="18"/>
          <w:szCs w:val="18"/>
          <w:color w:val="auto"/>
        </w:rPr>
        <w:t xml:space="preserve"> </w:t>
      </w:r>
      <w:r>
        <w:rPr>
          <w:rFonts w:ascii="Arial" w:cs="Arial" w:eastAsia="Arial" w:hAnsi="Arial"/>
          <w:sz w:val="18"/>
          <w:szCs w:val="18"/>
          <w:i w:val="1"/>
          <w:iCs w:val="1"/>
          <w:color w:val="auto"/>
        </w:rPr>
        <w:t>across Commercial, Medicare Advantage, Medicare Shared Savings, and Medicaid since 2014; patient Net Promoter Score (NPS) of 85).</w:t>
      </w:r>
    </w:p>
    <w:p>
      <w:pPr>
        <w:spacing w:after="0" w:line="125" w:lineRule="exact"/>
        <w:rPr>
          <w:rFonts w:ascii="Arial" w:cs="Arial" w:eastAsia="Arial" w:hAnsi="Arial"/>
          <w:sz w:val="18"/>
          <w:szCs w:val="18"/>
          <w:color w:val="auto"/>
        </w:rPr>
      </w:pPr>
    </w:p>
    <w:p>
      <w:pPr>
        <w:jc w:val="both"/>
        <w:ind w:left="640" w:hanging="322"/>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Demonstrates Physician Value Proposition Consistently: </w:t>
      </w:r>
      <w:r>
        <w:rPr>
          <w:rFonts w:ascii="Arial" w:cs="Arial" w:eastAsia="Arial" w:hAnsi="Arial"/>
          <w:sz w:val="17"/>
          <w:szCs w:val="17"/>
          <w:color w:val="auto"/>
        </w:rPr>
        <w:t>Reduces administrative burden and generally increases provider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profitability </w:t>
      </w:r>
      <w:r>
        <w:rPr>
          <w:rFonts w:ascii="Arial" w:cs="Arial" w:eastAsia="Arial" w:hAnsi="Arial"/>
          <w:sz w:val="17"/>
          <w:szCs w:val="17"/>
          <w:i w:val="1"/>
          <w:iCs w:val="1"/>
          <w:color w:val="auto"/>
        </w:rPr>
        <w:t>(95% Privia Provider retention rate over the past four years in addition to a six-time (2016-2021) Healthcare</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Management Association’s (HFMA) MAP Award recipient for high performance in revenue cycle).</w:t>
      </w:r>
    </w:p>
    <w:p>
      <w:pPr>
        <w:spacing w:after="0" w:line="103" w:lineRule="exact"/>
        <w:rPr>
          <w:rFonts w:ascii="Arial" w:cs="Arial" w:eastAsia="Arial" w:hAnsi="Arial"/>
          <w:sz w:val="17"/>
          <w:szCs w:val="17"/>
          <w:color w:val="auto"/>
        </w:rPr>
      </w:pPr>
    </w:p>
    <w:p>
      <w:pPr>
        <w:jc w:val="both"/>
        <w:ind w:left="640" w:right="20" w:hanging="322"/>
        <w:spacing w:after="0" w:line="298" w:lineRule="auto"/>
        <w:tabs>
          <w:tab w:leader="none" w:pos="635"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Generates Attractive Financial Results: </w:t>
      </w:r>
      <w:r>
        <w:rPr>
          <w:rFonts w:ascii="Arial" w:cs="Arial" w:eastAsia="Arial" w:hAnsi="Arial"/>
          <w:sz w:val="16"/>
          <w:szCs w:val="16"/>
          <w:color w:val="auto"/>
        </w:rPr>
        <w:t>Has an established scale, diversified revenue mix with no single payer or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concentration, and is profitable and capital efficient with attractive growth (</w:t>
      </w:r>
      <w:r>
        <w:rPr>
          <w:rFonts w:ascii="Arial" w:cs="Arial" w:eastAsia="Arial" w:hAnsi="Arial"/>
          <w:sz w:val="16"/>
          <w:szCs w:val="16"/>
          <w:i w:val="1"/>
          <w:iCs w:val="1"/>
          <w:color w:val="auto"/>
        </w:rPr>
        <w:t>for the year</w:t>
      </w:r>
      <w:r>
        <w:rPr>
          <w:rFonts w:ascii="Arial" w:cs="Arial" w:eastAsia="Arial" w:hAnsi="Arial"/>
          <w:sz w:val="16"/>
          <w:szCs w:val="16"/>
          <w:color w:val="auto"/>
        </w:rPr>
        <w:t xml:space="preserve"> ended </w:t>
      </w:r>
      <w:r>
        <w:rPr>
          <w:rFonts w:ascii="Arial" w:cs="Arial" w:eastAsia="Arial" w:hAnsi="Arial"/>
          <w:sz w:val="16"/>
          <w:szCs w:val="16"/>
          <w:i w:val="1"/>
          <w:iCs w:val="1"/>
          <w:color w:val="auto"/>
        </w:rPr>
        <w:t>December 31, 2020,</w:t>
      </w:r>
      <w:r>
        <w:rPr>
          <w:rFonts w:ascii="Arial" w:cs="Arial" w:eastAsia="Arial" w:hAnsi="Arial"/>
          <w:sz w:val="16"/>
          <w:szCs w:val="16"/>
          <w:color w:val="auto"/>
        </w:rPr>
        <w:t xml:space="preserve"> approximately </w:t>
      </w:r>
      <w:r>
        <w:rPr>
          <w:rFonts w:ascii="Arial" w:cs="Arial" w:eastAsia="Arial" w:hAnsi="Arial"/>
          <w:sz w:val="16"/>
          <w:szCs w:val="16"/>
          <w:i w:val="1"/>
          <w:iCs w:val="1"/>
          <w:color w:val="auto"/>
        </w:rPr>
        <w:t>$817 million in revenue and $1.3 billion total practice collections and for the nine months ended September 30,</w:t>
      </w:r>
      <w:r>
        <w:rPr>
          <w:rFonts w:ascii="Arial" w:cs="Arial" w:eastAsia="Arial" w:hAnsi="Arial"/>
          <w:sz w:val="16"/>
          <w:szCs w:val="16"/>
          <w:color w:val="auto"/>
        </w:rPr>
        <w:t xml:space="preserve"> </w:t>
      </w:r>
      <w:r>
        <w:rPr>
          <w:rFonts w:ascii="Arial" w:cs="Arial" w:eastAsia="Arial" w:hAnsi="Arial"/>
          <w:sz w:val="16"/>
          <w:szCs w:val="16"/>
          <w:i w:val="1"/>
          <w:iCs w:val="1"/>
          <w:color w:val="auto"/>
        </w:rPr>
        <w:t>2021, approximately $690.9 million in revenue and $1.11 billion in total practice collections, high return on invested capital with superior unit economics and high free cash flow conversion). See “Key Metrics” for a discussion of practice collections.</w:t>
      </w:r>
    </w:p>
    <w:p>
      <w:pPr>
        <w:spacing w:after="0" w:line="99" w:lineRule="exact"/>
        <w:rPr>
          <w:rFonts w:ascii="Arial" w:cs="Arial" w:eastAsia="Arial" w:hAnsi="Arial"/>
          <w:sz w:val="16"/>
          <w:szCs w:val="16"/>
          <w:b w:val="1"/>
          <w:bCs w:val="1"/>
          <w:i w:val="1"/>
          <w:iCs w:val="1"/>
          <w:color w:val="auto"/>
        </w:rPr>
      </w:pPr>
    </w:p>
    <w:p>
      <w:pPr>
        <w:jc w:val="both"/>
        <w:ind w:left="640" w:hanging="322"/>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Led by a Highly Experienced Executive and Physician Leadership Team: </w:t>
      </w:r>
      <w:r>
        <w:rPr>
          <w:rFonts w:ascii="Arial" w:cs="Arial" w:eastAsia="Arial" w:hAnsi="Arial"/>
          <w:sz w:val="17"/>
          <w:szCs w:val="17"/>
          <w:color w:val="auto"/>
        </w:rPr>
        <w:t>Our management team has significant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payer, provider and healthcare information technology organizations. Our Privia Physicians assume key leadership roles within our Medical Groups, Medical Group committees, and ACOs (defined below).</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believe our model is highly scalable. Privia currently operates in seven states and the District of Columbia, covering over 100 target MPSAs (including over 30 out of the largest 100 MPSAs). We aim to build relevance in each of our markets with all key constituents (physicians, non-physician clinicians, patients, government programs,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70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commercial payers and employers). Privia started by partnering with small and large independent physician practices focused on primary care, pediatrics, women’s health, and select subspecialties focused on treating chronically ill patients. We now have more than 3,150 Privia Providers who have signed to join our platform as of September 30, 2021 (excluding the number of signed providers in our California and West Texas markets). Of these, we have approximately 2,830 Privia Providers on our platform who are credentialed and bill for health care services, through our Medical Groups, as of September 30, 2021 (“implemented providers”). Once a provider signs an agreement to join Privia, there is a five-to-eight month period on average before that provider is implemented on our platform. This time lag between signing and implementing a Privia Provider gives us very high visibility into total practice collections over a forward twelve- month period. Our implemented Privia Providers operate in over 850 care center locations providing care to over 3 million patients, including approximately 474,000 commercial patients who have selected one of our Medical Groups as their provider of primary care services, as measured at the end of a particular period (“attributed lives”), approximately 103,000 Medicare Advantage attributed lives, 141,000 Medicare Shared Savings / Maryland CPC+ Program attributed lives, and over 42,000 Medicaid attributed lives. In addition, we currently have approximately 170,000 patients aging into Medicare over the next five years. Our confidence in our business model is based on our belief that the Privia Platform works across all geographies and will allow us to enter many new markets across the country over the coming decades and fundamentally move those markets to VBC. We recently began offering Privia Care Partners, a more flexible provider affiliation model, to providers who do not desire to join one of our medical groups. This model will initially aggregate providers in certain of our existing markets as well as new markets who are looking solely for VBC solutions without the necessity of changing EHR providers. We will continue to furnish population health services, reporting and analytics to such providers along with a menu of management services from which providers may choose. We expect to launch Privia Care Partners on January 1, 2022 with over 25,000 attributed lives in partnership with over 300 providers in approximately 100 care center locations.</w:t>
      </w:r>
    </w:p>
    <w:p>
      <w:pPr>
        <w:spacing w:after="0" w:line="11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Privia Physicians join the Medical Group in their geographic market as an owner of the Medical Group. Certain of our Medical Groups are majority-owned by us (each, an “Owned Medical Group”), with Privia Physicians collectively owning a minority interest. However, in those markets in which state regulations do not allow us to own Medical Groups, the Medical Groups are owned entirely by Privia Physicians (each, a “Non-Owned Medical Group”). We provide management services to each Medical Group though a local management services organization (each, a “MSO”) established with the objective of maximizing the independence and autonomy of our Privia Physicians’ practices (each, an “Affiliated Practice”), while providing Medical Groups with access to VBC opportunities either directly or through Privia-owned accountable care organizations (each, an “ACO”). In markets with Non-Owned Medical Groups, we earn revenue by providing administrative and management services through owned MSO entities (FFS-administrative services revenue).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The Medical Groups have no ownership in the underlying Affiliated Practices, but the Affiliated Practices do provide certain services to the Medical Groups, such as use of space, non-physician staffing, equipment and supplies. We principally derive our revenues from the following three sources: (i) FFS- patient care revenue generated from providing healthcare services to patients through Privia Providers of Owned Medical Groups and management and administrative services earned for administrative services provided to Non-Owned Medical Groups (“FFS-administrative services”), (ii) VBC revenue collected on behalf of our Privia Providers in the form of management and administrative fees, which, at this time, are primarily in the form of per member per month (“PMPM”) fees and shared savings, which includes quality bonuses, and (iii) other revenue from additional services offered by Privia to its Privia Providers or directly to patients or employers. The operations of our Owned Medical Groups, owned ACOs and owned MSOs are reflected within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002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20" w:firstLine="324"/>
        <w:spacing w:after="0" w:line="277" w:lineRule="auto"/>
        <w:rPr>
          <w:sz w:val="20"/>
          <w:szCs w:val="20"/>
          <w:color w:val="auto"/>
        </w:rPr>
      </w:pPr>
      <w:r>
        <w:rPr>
          <w:rFonts w:ascii="Arial" w:cs="Arial" w:eastAsia="Arial" w:hAnsi="Arial"/>
          <w:sz w:val="18"/>
          <w:szCs w:val="18"/>
          <w:color w:val="auto"/>
        </w:rPr>
        <w:t>Below is a table that sets forth in greater detail certain differences between the way we contract with our Owned Medical Groups and the Non-Owned Medical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6" w:hanging="326"/>
        <w:spacing w:after="0"/>
        <w:tabs>
          <w:tab w:leader="none" w:pos="326"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listed management services are offered to the Non-Owned Medical Groups, but some groups may only choose to use certain services.</w:t>
      </w:r>
    </w:p>
    <w:p>
      <w:pPr>
        <w:spacing w:after="0" w:line="151"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u w:val="single" w:color="auto"/>
          <w:color w:val="auto"/>
        </w:rPr>
        <w:t>Our Legal Organizational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6" w:right="20" w:hanging="326"/>
        <w:spacing w:after="0" w:line="241" w:lineRule="auto"/>
        <w:tabs>
          <w:tab w:leader="none" w:pos="318"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presentation purposes, legal structure chart excludes wholly-owned intermediate legal entities between Privia Health Group, Inc. and Privia Management Company, LLC.</w:t>
      </w:r>
    </w:p>
    <w:p>
      <w:pPr>
        <w:ind w:left="326" w:hanging="326"/>
        <w:spacing w:after="0"/>
        <w:tabs>
          <w:tab w:leader="none" w:pos="326"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subsidiaries are 100% owned except for Owned Medical Groups and two MSOs, which are at least 51% owned. Variations of these local structures are repeated in</w:t>
      </w:r>
    </w:p>
    <w:p>
      <w:pPr>
        <w:spacing w:after="0" w:line="13" w:lineRule="exact"/>
        <w:rPr>
          <w:sz w:val="20"/>
          <w:szCs w:val="20"/>
          <w:color w:val="auto"/>
        </w:rPr>
      </w:pPr>
    </w:p>
    <w:p>
      <w:pPr>
        <w:ind w:left="326"/>
        <w:spacing w:after="0"/>
        <w:rPr>
          <w:sz w:val="20"/>
          <w:szCs w:val="20"/>
          <w:color w:val="auto"/>
        </w:rPr>
      </w:pPr>
      <w:r>
        <w:rPr>
          <w:rFonts w:ascii="Arial" w:cs="Arial" w:eastAsia="Arial" w:hAnsi="Arial"/>
          <w:sz w:val="14"/>
          <w:szCs w:val="14"/>
          <w:color w:val="auto"/>
        </w:rPr>
        <w:t>each of our markets.</w:t>
      </w:r>
    </w:p>
    <w:p>
      <w:pPr>
        <w:spacing w:after="0" w:line="1" w:lineRule="exact"/>
        <w:rPr>
          <w:sz w:val="20"/>
          <w:szCs w:val="20"/>
          <w:color w:val="auto"/>
        </w:rPr>
      </w:pPr>
    </w:p>
    <w:p>
      <w:pPr>
        <w:ind w:left="306" w:hanging="306"/>
        <w:spacing w:after="0"/>
        <w:tabs>
          <w:tab w:leader="none" w:pos="306" w:val="left"/>
        </w:tabs>
        <w:numPr>
          <w:ilvl w:val="0"/>
          <w:numId w:val="7"/>
        </w:numPr>
        <w:rPr>
          <w:rFonts w:ascii="Arial" w:cs="Arial" w:eastAsia="Arial" w:hAnsi="Arial"/>
          <w:sz w:val="14"/>
          <w:szCs w:val="14"/>
          <w:color w:val="auto"/>
        </w:rPr>
      </w:pPr>
      <w:r>
        <w:rPr>
          <w:rFonts w:ascii="Arial" w:cs="Arial" w:eastAsia="Arial" w:hAnsi="Arial"/>
          <w:sz w:val="14"/>
          <w:szCs w:val="14"/>
          <w:color w:val="auto"/>
        </w:rPr>
        <w:t>With representative local market examples.</w:t>
      </w:r>
    </w:p>
    <w:p>
      <w:pPr>
        <w:spacing w:after="0" w:line="155" w:lineRule="exact"/>
        <w:rPr>
          <w:sz w:val="20"/>
          <w:szCs w:val="20"/>
          <w:color w:val="auto"/>
        </w:rPr>
      </w:pPr>
    </w:p>
    <w:p>
      <w:pPr>
        <w:ind w:left="6" w:right="1160" w:firstLine="324"/>
        <w:spacing w:after="0" w:line="438" w:lineRule="auto"/>
        <w:rPr>
          <w:sz w:val="20"/>
          <w:szCs w:val="20"/>
          <w:color w:val="auto"/>
        </w:rPr>
      </w:pPr>
      <w:r>
        <w:rPr>
          <w:rFonts w:ascii="Arial" w:cs="Arial" w:eastAsia="Arial" w:hAnsi="Arial"/>
          <w:sz w:val="18"/>
          <w:szCs w:val="18"/>
          <w:color w:val="auto"/>
        </w:rPr>
        <w:t xml:space="preserve">We have experienced strong organic revenue growth since inception and meaningful leveraging of our cost structure. </w:t>
      </w:r>
      <w:r>
        <w:rPr>
          <w:rFonts w:ascii="Arial" w:cs="Arial" w:eastAsia="Arial" w:hAnsi="Arial"/>
          <w:sz w:val="18"/>
          <w:szCs w:val="18"/>
          <w:b w:val="1"/>
          <w:bCs w:val="1"/>
          <w:color w:val="auto"/>
        </w:rPr>
        <w:t>GAAP Financial Measures</w:t>
      </w:r>
    </w:p>
    <w:p>
      <w:pPr>
        <w:spacing w:after="0" w:line="1" w:lineRule="exact"/>
        <w:rPr>
          <w:sz w:val="20"/>
          <w:szCs w:val="20"/>
          <w:color w:val="auto"/>
        </w:rPr>
      </w:pPr>
    </w:p>
    <w:p>
      <w:pPr>
        <w:ind w:left="646" w:hanging="322"/>
        <w:spacing w:after="0" w:line="277" w:lineRule="auto"/>
        <w:tabs>
          <w:tab w:leader="none" w:pos="64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was $690.9 million and $603.4 million for the nine months ended September 30, 2021 and 2020, respectively, and $817.1 million, $786.4 million and $657.6 million in 2020, 2019 and 2018, respectively;</w:t>
      </w:r>
    </w:p>
    <w:p>
      <w:pPr>
        <w:spacing w:after="0" w:line="116" w:lineRule="exact"/>
        <w:rPr>
          <w:rFonts w:ascii="Arial" w:cs="Arial" w:eastAsia="Arial" w:hAnsi="Arial"/>
          <w:sz w:val="18"/>
          <w:szCs w:val="18"/>
          <w:color w:val="auto"/>
        </w:rPr>
      </w:pPr>
    </w:p>
    <w:p>
      <w:pPr>
        <w:ind w:left="646" w:right="20" w:hanging="322"/>
        <w:spacing w:after="0" w:line="277" w:lineRule="auto"/>
        <w:tabs>
          <w:tab w:leader="none" w:pos="641"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(loss) income was $(198.1) million and $21.2 million for the nine months ended September 30, 2021 and 2020, respectively, and $25.4 million, $16.1 million and $2.2 million in 2020, 2019 and 2018, respectively; and</w:t>
      </w:r>
    </w:p>
    <w:p>
      <w:pPr>
        <w:spacing w:after="0" w:line="116" w:lineRule="exact"/>
        <w:rPr>
          <w:rFonts w:ascii="Arial" w:cs="Arial" w:eastAsia="Arial" w:hAnsi="Arial"/>
          <w:sz w:val="18"/>
          <w:szCs w:val="18"/>
          <w:color w:val="auto"/>
        </w:rPr>
      </w:pPr>
    </w:p>
    <w:p>
      <w:pPr>
        <w:jc w:val="both"/>
        <w:ind w:left="646" w:right="20" w:hanging="322"/>
        <w:spacing w:after="0" w:line="263" w:lineRule="auto"/>
        <w:tabs>
          <w:tab w:leader="none" w:pos="641"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(loss) income attributable to Privia Health Group, Inc. was $(176.3) million and $27.4 million for the nine months ended September 30, 2021 and 2020, respectively, and $31.2 million, $8.2 million and $(3.0) million, in 2020, 2019 and 2018, respectively.</w:t>
      </w:r>
    </w:p>
    <w:p>
      <w:pPr>
        <w:sectPr>
          <w:pgSz w:w="11900" w:h="16838" w:orient="portrait"/>
          <w:cols w:equalWidth="0" w:num="1">
            <w:col w:w="9906"/>
          </w:cols>
          <w:pgMar w:left="994" w:top="1440" w:right="99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6"/>
          </w:cols>
          <w:pgMar w:left="994" w:top="1440" w:right="999" w:bottom="1027"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19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75" w:lineRule="exact"/>
        <w:rPr>
          <w:sz w:val="20"/>
          <w:szCs w:val="20"/>
          <w:color w:val="auto"/>
        </w:rPr>
      </w:pPr>
    </w:p>
    <w:p>
      <w:pPr>
        <w:ind w:left="640" w:right="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Practice Collections was $1.11 billion and $949.0 million for the nine months ended September 30, 2021 and 2020, respectively, and $1,301.1 million, $1,135.7 million and $930.4 million in 2020, 2019 and 2018, respectively;</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Care Margin was $169.8 million and $136.3 million for the nine months ended September 30, 2021 and 2020 respectively, and $187.6 million, $163.7 million and $129.7 million in 2020, 2019 and 2018, respectively;</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Platform Contribution was $79.8 million and $59.2 million for the nine months ended September 30, 2021 and 2020, respectively; and $82.6 million, $68.5 million and $56.5 million in 2020, 2019 and 2018, respectively; and</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was $33.9 million and $23.2 million for the nine months ended September 30, 2021 and 2020, respectively, and $29.4 million, $18.1 million and $8.9 million in 2020, 2019 and 2018, respectively.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“Key Metrics and Non-GAAP Financial Measures” for more information as to how we define and calculate practice collections, care margin, platform contribution and adjusted EBITDA, and for reconciliations of income from operations, the most comparable GAAP measure, to care margin and to platform contribution, and net income, the most comparable GAAP measure, to adjusted EBITDA.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Privia Health is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Privia Physicians’ administrative burden and help accelerate the transition to VBC. This model creates a differentiated experience that is patient-centric, physician-led and payer-agnostic. As a result, we enable Privia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Privia Operating Model</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Privia operating model has the following characteristics:</w:t>
      </w:r>
    </w:p>
    <w:p>
      <w:pPr>
        <w:spacing w:after="0" w:line="171" w:lineRule="exact"/>
        <w:rPr>
          <w:sz w:val="20"/>
          <w:szCs w:val="20"/>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Proven, scalable, replicable and flexible;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Single Tax-ID Number (“TIN”), primary care-oriented Medical Group in each local market;</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services and clinical organization enabled by the Privia Technology Solution; and</w:t>
      </w:r>
    </w:p>
    <w:p>
      <w:pPr>
        <w:spacing w:after="0" w:line="171"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specific strategies—Accountable Care Organizations (“ACOs”) and ancillary services (e.g., clinical lab, pharmacy and imaging) based on market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67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66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Privia Platform is powered by the Privia Technology Solution, which optimizes provider workflow across the full continuum of reimbursement arrangements. The platform supports multiple provider types (51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Privia Provider well-being and patient satisfaction.</w:t>
      </w:r>
    </w:p>
    <w:p>
      <w:pPr>
        <w:spacing w:after="0" w:line="1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At our core, we believe in bringing back to physicians the joy of practicing medicine and the passion for their profession. As a physician focused company, we know the vital role providers play in improving patient health outcomes while curbing healthcare spending and waste.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Physicians Confront Today and Our Market Opportunity</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Physicians across the country face tremendous challenges in managing their practices. Care delivery platforms today are not set up to succeed in different reimbursement models as healthcare shifts to VBC. We believe there is a 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type.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survey of 700+ clinicians, clinical leaders and health care executives conducted by NEJM Catalyst and reported in April 2018 found the following:</w:t>
      </w:r>
    </w:p>
    <w:p>
      <w:pPr>
        <w:spacing w:after="0" w:line="116" w:lineRule="exact"/>
        <w:rPr>
          <w:sz w:val="20"/>
          <w:szCs w:val="20"/>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83% see physician burnout as a moderate or serious problem;</w:t>
      </w:r>
    </w:p>
    <w:p>
      <w:pPr>
        <w:spacing w:after="0" w:line="171"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82% believe that interventions to alleviate burnout should be targeted at the organizational level (e.g. systems and infrastructure enhancements);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6" w:right="20" w:hanging="322"/>
        <w:spacing w:after="0" w:line="277" w:lineRule="auto"/>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54% identify off-loading clerical tasks (e.g. to scribes, population health facilitators) and 46% feel initiatives to improve electronic medical records and other IT systems would be helpful in reducing physician burnout.</w:t>
      </w:r>
    </w:p>
    <w:p>
      <w:pPr>
        <w:spacing w:after="0" w:line="116" w:lineRule="exact"/>
        <w:rPr>
          <w:sz w:val="20"/>
          <w:szCs w:val="20"/>
          <w:color w:val="auto"/>
        </w:rPr>
      </w:pPr>
    </w:p>
    <w:p>
      <w:pPr>
        <w:jc w:val="both"/>
        <w:ind w:left="6" w:firstLine="324"/>
        <w:spacing w:after="0" w:line="290" w:lineRule="auto"/>
        <w:rPr>
          <w:sz w:val="20"/>
          <w:szCs w:val="20"/>
          <w:color w:val="auto"/>
        </w:rPr>
      </w:pPr>
      <w:r>
        <w:rPr>
          <w:rFonts w:ascii="Arial" w:cs="Arial" w:eastAsia="Arial" w:hAnsi="Arial"/>
          <w:sz w:val="16"/>
          <w:szCs w:val="16"/>
          <w:color w:val="auto"/>
        </w:rPr>
        <w:t>With these issues in mind, Privia has been purpose-built to address a large market opportunity. Unlike peers who focus only on point solutions or narrow patient cohorts, we offer a national platform with hyper-localized solutions that meet the needs of physicians, patients and payers. 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111" w:lineRule="exact"/>
        <w:rPr>
          <w:sz w:val="20"/>
          <w:szCs w:val="20"/>
          <w:color w:val="auto"/>
        </w:rPr>
      </w:pPr>
    </w:p>
    <w:p>
      <w:pPr>
        <w:jc w:val="both"/>
        <w:ind w:left="6" w:firstLine="324"/>
        <w:spacing w:after="0" w:line="273" w:lineRule="auto"/>
        <w:rPr>
          <w:sz w:val="20"/>
          <w:szCs w:val="20"/>
          <w:color w:val="auto"/>
        </w:rPr>
      </w:pPr>
      <w:r>
        <w:rPr>
          <w:rFonts w:ascii="Arial" w:cs="Arial" w:eastAsia="Arial" w:hAnsi="Arial"/>
          <w:sz w:val="17"/>
          <w:szCs w:val="17"/>
          <w:color w:val="auto"/>
        </w:rPr>
        <w:t>For 2020, the Centers for Medicare and Medicaid Services (“CMS”) expects the commercial beneficiary market to represent approximately $1.4 trillion of aggregate healthcare spend in the United States, with Medicare and Medicaid representing $850 billion and $650 billion, respectively, for a total of $3 trillion in overall U.S. healthcare spend. In its research report dated January 22, 2021 titled “The Dawn of Physician Enablement: Defining Healthcare in the 2020s” (the “2021 Nephron Report”), Nephron Research estimated that the “physician enablement” market in which we participate represents up to $1.9 trillion of that total healthcare spend. We believe the flexibility of our model uniquely positions us to address this large market opportunity.</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Privia Platform is Designed to Transform the Way Physicians Practice Medicine</w:t>
      </w:r>
    </w:p>
    <w:p>
      <w:pPr>
        <w:spacing w:after="0" w:line="175" w:lineRule="exact"/>
        <w:rPr>
          <w:sz w:val="20"/>
          <w:szCs w:val="20"/>
          <w:color w:val="auto"/>
        </w:rPr>
      </w:pPr>
    </w:p>
    <w:p>
      <w:pPr>
        <w:jc w:val="both"/>
        <w:ind w:left="6" w:right="20" w:firstLine="324"/>
        <w:spacing w:after="0" w:line="291" w:lineRule="auto"/>
        <w:rPr>
          <w:sz w:val="20"/>
          <w:szCs w:val="20"/>
          <w:color w:val="auto"/>
        </w:rPr>
      </w:pPr>
      <w:r>
        <w:rPr>
          <w:rFonts w:ascii="Arial" w:cs="Arial" w:eastAsia="Arial" w:hAnsi="Arial"/>
          <w:sz w:val="16"/>
          <w:szCs w:val="16"/>
          <w:color w:val="auto"/>
        </w:rPr>
        <w:t>Our goal is to reimagine the approach to managing physician organizations and optimize their performance by creating a platform that caters to their unique needs. We do this through five key elements of our platform: (i) focusing on technology and population health,</w:t>
      </w:r>
    </w:p>
    <w:p>
      <w:pPr>
        <w:jc w:val="both"/>
        <w:ind w:left="6" w:hanging="6"/>
        <w:spacing w:after="0" w:line="255"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 single-TIN Medical Group and governance model in each geographic market, (iii) owning and operating a management services organization in each local market, (iv) building ACOs to capture VBC opportunities within the geographic market, and (v) offering a high quality, low cost provider network for purchasers and payers.</w:t>
      </w:r>
    </w:p>
    <w:p>
      <w:pPr>
        <w:spacing w:after="0" w:line="132" w:lineRule="exact"/>
        <w:rPr>
          <w:sz w:val="20"/>
          <w:szCs w:val="20"/>
          <w:color w:val="auto"/>
        </w:rPr>
      </w:pPr>
    </w:p>
    <w:p>
      <w:pPr>
        <w:jc w:val="both"/>
        <w:ind w:left="6" w:firstLine="324"/>
        <w:spacing w:after="0" w:line="285" w:lineRule="auto"/>
        <w:rPr>
          <w:sz w:val="20"/>
          <w:szCs w:val="20"/>
          <w:color w:val="auto"/>
        </w:rPr>
      </w:pPr>
      <w:r>
        <w:rPr>
          <w:rFonts w:ascii="Arial" w:cs="Arial" w:eastAsia="Arial" w:hAnsi="Arial"/>
          <w:sz w:val="16"/>
          <w:szCs w:val="16"/>
          <w:b w:val="1"/>
          <w:bCs w:val="1"/>
          <w:color w:val="auto"/>
        </w:rPr>
        <w:t xml:space="preserve">Technology and Population Health: </w:t>
      </w:r>
      <w:r>
        <w:rPr>
          <w:rFonts w:ascii="Arial" w:cs="Arial" w:eastAsia="Arial" w:hAnsi="Arial"/>
          <w:sz w:val="16"/>
          <w:szCs w:val="16"/>
          <w:color w:val="auto"/>
        </w:rPr>
        <w:t>Too often technology works against, rather than for, providers and patients. The Privia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Technology Solution is designed with our Privia Physicians’ and patients’ input to enhance their workflows in both FFS and VBC settings, increasing patient engagement across all stages of a visit, including 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w:t>
      </w:r>
      <w:r>
        <w:rPr>
          <w:rFonts w:ascii="Arial" w:cs="Arial" w:eastAsia="Arial" w:hAnsi="Arial"/>
          <w:sz w:val="16"/>
          <w:szCs w:val="16"/>
          <w:i w:val="1"/>
          <w:iCs w:val="1"/>
          <w:color w:val="auto"/>
        </w:rPr>
        <w:t>MyPrivia</w:t>
      </w:r>
      <w:r>
        <w:rPr>
          <w:rFonts w:ascii="Arial" w:cs="Arial" w:eastAsia="Arial" w:hAnsi="Arial"/>
          <w:sz w:val="16"/>
          <w:szCs w:val="16"/>
          <w:color w:val="auto"/>
        </w:rPr>
        <w:t xml:space="preserve"> app, patients can schedule and complete a virtual visit, securely message Privia Providers and their care teams, schedule an office appointment, find care options within the Privia network, and access the patient portal. Our technology and tools embed workflow and insights directly into our electronic medical record (“EMR”) system so Privia Providers can seamlessly assess patients’ health, 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we manage the complexity in the background in order to create a unified workflow and experience for our Medical Groups, Privia Providers, their staff and patients. For example, we use application programming interfaces (“APIs”) with systems and data exchanges so that our Privia Providers do not need to access other systems during a patient visit, and our EMR interfaces generate approximately 8 million messages on a monthly basis. After the visit, our Privia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Healthcare Information and Management Systems Society, Inc. (“HIMSS”) Innovation Award for our exceptional Patient Reported Quality Data (“PRQD”) program that collects required quality data directly from patients and automatically loads the results into patient records. Our proprietary virtual visit technology is fully integrated into our platform. As of September 30,</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6"/>
          </w:cols>
          <w:pgMar w:left="994"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9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771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2021, our virtual visit platform had logged over 1.4 million visits conducted by over 2,400 providers across more than 45 medical specialties. The Privia Technology Solution is the cornerstone to our Medical Groups and ACOs’ ability to succeed across patient demographic cohorts and multiple lines of business (Medicare, Medicare Advantage, MSSP, commercial, etc.).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and Population Health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PRIVIA TECHNOLOGY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Single-TIN Medical Group: </w:t>
      </w:r>
      <w:r>
        <w:rPr>
          <w:rFonts w:ascii="Arial" w:cs="Arial" w:eastAsia="Arial" w:hAnsi="Arial"/>
          <w:sz w:val="16"/>
          <w:szCs w:val="16"/>
          <w:color w:val="auto"/>
        </w:rPr>
        <w:t>In each of our markets, we build a primary care centric single-TIN Medical Group that facilitates</w:t>
      </w:r>
      <w:r>
        <w:rPr>
          <w:rFonts w:ascii="Arial" w:cs="Arial" w:eastAsia="Arial" w:hAnsi="Arial"/>
          <w:sz w:val="16"/>
          <w:szCs w:val="16"/>
          <w:b w:val="1"/>
          <w:bCs w:val="1"/>
          <w:color w:val="auto"/>
        </w:rPr>
        <w:t xml:space="preserve"> </w:t>
      </w:r>
      <w:r>
        <w:rPr>
          <w:rFonts w:ascii="Arial" w:cs="Arial" w:eastAsia="Arial" w:hAnsi="Arial"/>
          <w:sz w:val="16"/>
          <w:szCs w:val="16"/>
          <w:color w:val="auto"/>
        </w:rPr>
        <w:t>payer negotiation, clinical integration and alignment of financial incentives. Our Medical Group governance structure allows Privia Providers to build a clinical culture that adapts to consumers’ and a region’s unique and evolving needs. Privia Providers in our Medical Groups collaborate in physician-organized delivery (“POD”) meetings to review performance data, share best practices, create an environment of accountability, and advance evidence-based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1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Management Services Organization: </w:t>
      </w:r>
      <w:r>
        <w:rPr>
          <w:rFonts w:ascii="Arial" w:cs="Arial" w:eastAsia="Arial" w:hAnsi="Arial"/>
          <w:sz w:val="17"/>
          <w:szCs w:val="17"/>
          <w:color w:val="auto"/>
        </w:rPr>
        <w:t>We enable our Privia Providers to focus on their patients, not paperwork. Our market-level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service organizations leverage our scale to reduce administrative work, increase efficiency, and lower direct costs for our Privia Providers. Our payer contracting team works with multiple private and government payers across markets to construct and participate in VBC programs. As a six-time consecutive recipient of the prestigious HFMA MAP Award, our revenue cycle management (“RCM”) team meets the high standards for financial results and patient satisfaction. Our team of performance consultants conduct business operations reviews and audits to optimize our Privia Physicians’ finances and productivity. Our procurement team develops opportunities to reduce Affiliated Practices’ expenses through participation in group purchasing. Our analytics team enables our Privia Providers to make more data-driven decisions on financial,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42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operational, and clinical initiatives, resulting in same store practice growth across both fee-for-service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1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Accountable Care Organization: </w:t>
      </w:r>
      <w:r>
        <w:rPr>
          <w:rFonts w:ascii="Arial" w:cs="Arial" w:eastAsia="Arial" w:hAnsi="Arial"/>
          <w:sz w:val="16"/>
          <w:szCs w:val="16"/>
          <w:color w:val="auto"/>
        </w:rPr>
        <w:t>Privia has created consistent value across multiple markets and reimbursement models. Our</w:t>
      </w:r>
      <w:r>
        <w:rPr>
          <w:rFonts w:ascii="Arial" w:cs="Arial" w:eastAsia="Arial" w:hAnsi="Arial"/>
          <w:sz w:val="16"/>
          <w:szCs w:val="16"/>
          <w:b w:val="1"/>
          <w:bCs w:val="1"/>
          <w:color w:val="auto"/>
        </w:rPr>
        <w:t xml:space="preserve"> </w:t>
      </w:r>
      <w:r>
        <w:rPr>
          <w:rFonts w:ascii="Arial" w:cs="Arial" w:eastAsia="Arial" w:hAnsi="Arial"/>
          <w:sz w:val="16"/>
          <w:szCs w:val="16"/>
          <w:color w:val="auto"/>
        </w:rPr>
        <w:t>physician-led, local 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Privia Provider workflow. Our integrated tools divert costly patient encounters so our Privia Providers can increase revenue through both commercial and federal programs. Patients who meet with a Privia Provider annually for wellness and preventive care experience on average 61% lower hospitalizations, 47% lower emergency room visits, and 25% lower risk-adjusted total cost of care. In 2020, each ACO across our national network delivered high-value, cost-efficient care to more than 121,000 Medicare beneficiaries, achieving shared savings of approximately $87 million through the MSSP. Our total annual expenditures were 15% lower than the median MSSP ACO and 24% lower than total FFS Medicare. Our weighted average emergency room utilization was 22% lower than the median MSSP ACO and 30% lower than total FFS Medicare. Our weighted average outpatient facility spend was 22% lower than the median MSSP ACO and 35% lower than total FFS Medicare. Our weighted average inpatient facility spend was 20% lower than the median MSSP ACO and 29% lower than total FFS Medicare. We achieved CMS quality scores of 97 or higher for each of our regions in 2020 according to applicable CMS criteria. Since 2014, we have delivered total shared savings across government programs and commercial payers of more than $575 million, including nearly $281 million through participation in the MSSP. Our approach has been successful across Commercial, Medicare Advantage, MSSP, and Medicaid, from simpler pay-for-performance programs to more complex partial capitation and risk-based programs.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Network for Purchasers and Payers: </w:t>
      </w:r>
      <w:r>
        <w:rPr>
          <w:rFonts w:ascii="Arial" w:cs="Arial" w:eastAsia="Arial" w:hAnsi="Arial"/>
          <w:sz w:val="17"/>
          <w:szCs w:val="17"/>
          <w:color w:val="auto"/>
        </w:rPr>
        <w:t>We strive to bring all parts of the care delivery system together for an integrated care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designed to lead to improved outcomes at lower cost. Our Medical Groups enable Privia Providers to connect across our platform to better understand the holistic needs of each patient and connect them with other aligned and informed Privia Providers to address their individual medical needs. This is accomplished by leveraging data from numerous sources and utilizing Privia Provider input based on local knowledge 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state and federal governments, patients, and employers continue to expect primary care providers to provide better access, lower total cost, and higher-quality care, which we believe is a powerful trend in our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Replicable Platform to Enter and Move Markets Toward Transformational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Privia is expanding its technology-enabled platform designed to transform the healthcare delivery experience from a traditional FFS to VBC reimbursement model. </w:t>
      </w:r>
      <w:r>
        <w:rPr>
          <w:rFonts w:ascii="Arial" w:cs="Arial" w:eastAsia="Arial" w:hAnsi="Arial"/>
          <w:sz w:val="18"/>
          <w:szCs w:val="18"/>
          <w:color w:val="auto"/>
        </w:rPr>
        <w:t>We believe that our platform enables us to enter new geographies, establish our</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care centric provider network and move markets toward transformational VBC. We serve patients across demographics and medical complexities and also participate in the full spectrum of reimbursement models.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We align our success with that of our Privia Physicians and enable them to maximize the potential of their Affiliated Practices across their entire patient panel. </w:t>
      </w:r>
      <w:r>
        <w:rPr>
          <w:rFonts w:ascii="Arial" w:cs="Arial" w:eastAsia="Arial" w:hAnsi="Arial"/>
          <w:sz w:val="18"/>
          <w:szCs w:val="18"/>
          <w:color w:val="auto"/>
        </w:rPr>
        <w:t>Our proven, flexible platform delivers tailored solutions to secure providers’ futures,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their starting point on the transition to value.</w:t>
      </w:r>
    </w:p>
    <w:p>
      <w:pPr>
        <w:spacing w:after="0" w:line="122" w:lineRule="exact"/>
        <w:rPr>
          <w:sz w:val="20"/>
          <w:szCs w:val="20"/>
          <w:color w:val="auto"/>
        </w:rPr>
      </w:pPr>
    </w:p>
    <w:p>
      <w:pPr>
        <w:jc w:val="both"/>
        <w:ind w:left="640" w:hanging="322"/>
        <w:spacing w:after="0" w:line="26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FFS</w:t>
      </w:r>
      <w:r>
        <w:rPr>
          <w:rFonts w:ascii="Arial" w:cs="Arial" w:eastAsia="Arial" w:hAnsi="Arial"/>
          <w:sz w:val="18"/>
          <w:szCs w:val="18"/>
          <w:color w:val="auto"/>
        </w:rPr>
        <w:t>: At the onset of our relationship, we seek to create value for our Privia Providers through more competitive payer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improved patient volume, strengthened networks, and revenue cycle and productivity gains driven by our technology-enabled platform.</w:t>
      </w:r>
    </w:p>
    <w:p>
      <w:pPr>
        <w:spacing w:after="0" w:line="121" w:lineRule="exact"/>
        <w:rPr>
          <w:rFonts w:ascii="Arial" w:cs="Arial" w:eastAsia="Arial" w:hAnsi="Arial"/>
          <w:sz w:val="18"/>
          <w:szCs w:val="18"/>
          <w:color w:val="auto"/>
        </w:rPr>
      </w:pPr>
    </w:p>
    <w:p>
      <w:pPr>
        <w:jc w:val="both"/>
        <w:ind w:left="640" w:right="20" w:hanging="322"/>
        <w:spacing w:after="0" w:line="281"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VBC</w:t>
      </w:r>
      <w:r>
        <w:rPr>
          <w:rFonts w:ascii="Arial" w:cs="Arial" w:eastAsia="Arial" w:hAnsi="Arial"/>
          <w:sz w:val="17"/>
          <w:szCs w:val="17"/>
          <w:color w:val="auto"/>
        </w:rPr>
        <w:t>: Over time, we create incremental value for our Privia Providers by enabling them to succeed in VBC models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highly aligned with payers. Our technology, training, robust networks and governance structures are foundational components powering our track record of success in programs such as enhanced reimbursement through the MSSP, Medicare Advantage, Medicaid, commercial and other direct payer and employer contracting programs.</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align incentives with our Privia Physicians and those who fund healthcare spend by designing our revenue model such that we share in the benefit of our Privia Physicians’ achieving better outcomes, regardless of reimbursement environment. Because, when allowed by state law, we are paid a percentage of our Privia Providers’ revenues, our fees are aligned with our Privia Providers’ revenue streams, including both 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13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Our end-to-end, cloud-based technology-enabled platform improves Medical Group efficiency, patient and Privia Provider experiences and healthcare outcomes. </w:t>
      </w:r>
      <w:r>
        <w:rPr>
          <w:rFonts w:ascii="Arial" w:cs="Arial" w:eastAsia="Arial" w:hAnsi="Arial"/>
          <w:sz w:val="17"/>
          <w:szCs w:val="17"/>
          <w:color w:val="auto"/>
        </w:rPr>
        <w:t>Our technology-enabled platform is designed to increase Privia Providers’ workflow efficiency,</w:t>
      </w:r>
      <w:r>
        <w:rPr>
          <w:rFonts w:ascii="Arial" w:cs="Arial" w:eastAsia="Arial" w:hAnsi="Arial"/>
          <w:sz w:val="17"/>
          <w:szCs w:val="17"/>
          <w:b w:val="1"/>
          <w:bCs w:val="1"/>
          <w:color w:val="auto"/>
        </w:rPr>
        <w:t xml:space="preserve"> </w:t>
      </w:r>
      <w:r>
        <w:rPr>
          <w:rFonts w:ascii="Arial" w:cs="Arial" w:eastAsia="Arial" w:hAnsi="Arial"/>
          <w:sz w:val="17"/>
          <w:szCs w:val="17"/>
          <w:color w:val="auto"/>
        </w:rPr>
        <w:t>enhances patient experience and engagement, achieves lower total cost of care, improves healthcare outcomes and increases income for our Privia Physicians, enabling them to succeed across changing reimbursement environments. In addition, our platform eliminates the need for our Medical Groups to purchase and integrate numerous single-point solutions, thereby removing administrative burden, decreasing costs, and enhancing overall provider experience.</w:t>
      </w:r>
    </w:p>
    <w:p>
      <w:pPr>
        <w:spacing w:after="0" w:line="11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Our platform is designed to improve patient outcomes through superior clinical quality. </w:t>
      </w:r>
      <w:r>
        <w:rPr>
          <w:rFonts w:ascii="Arial" w:cs="Arial" w:eastAsia="Arial" w:hAnsi="Arial"/>
          <w:sz w:val="18"/>
          <w:szCs w:val="18"/>
          <w:color w:val="auto"/>
        </w:rPr>
        <w:t>We bring a value-based philosophy of</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that leads to higher quality results. Through advanced analytics we identify rising risk and high-risk patients, and ensure that all patients receive the necessary preventive care. We provide additional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45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Privia Providers’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quality measures such as fall risk screening, flu vaccination, and HbA1c control for diabetic patients.</w:t>
      </w:r>
    </w:p>
    <w:p>
      <w:pPr>
        <w:spacing w:after="0" w:line="11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We provide the benefit of scale while also offering flexibility with ownership structures. </w:t>
      </w:r>
      <w:r>
        <w:rPr>
          <w:rFonts w:ascii="Arial" w:cs="Arial" w:eastAsia="Arial" w:hAnsi="Arial"/>
          <w:sz w:val="17"/>
          <w:szCs w:val="17"/>
          <w:color w:val="auto"/>
        </w:rPr>
        <w:t>Physicians and providers join our</w:t>
      </w:r>
      <w:r>
        <w:rPr>
          <w:rFonts w:ascii="Arial" w:cs="Arial" w:eastAsia="Arial" w:hAnsi="Arial"/>
          <w:sz w:val="17"/>
          <w:szCs w:val="17"/>
          <w:b w:val="1"/>
          <w:bCs w:val="1"/>
          <w:color w:val="auto"/>
        </w:rPr>
        <w:t xml:space="preserve"> </w:t>
      </w:r>
      <w:r>
        <w:rPr>
          <w:rFonts w:ascii="Arial" w:cs="Arial" w:eastAsia="Arial" w:hAnsi="Arial"/>
          <w:sz w:val="17"/>
          <w:szCs w:val="17"/>
          <w:color w:val="auto"/>
        </w:rPr>
        <w:t>single-TIN Medical Group in each geographic market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to grow income and succeed in VBC reimbursement models.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Where We Excel and Drive Meaningful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18"/>
          <w:szCs w:val="18"/>
          <w:b w:val="1"/>
          <w:bCs w:val="1"/>
          <w:color w:val="auto"/>
        </w:rPr>
        <w:t xml:space="preserve">Ability to enter and move markets to VBC: </w:t>
      </w:r>
      <w:r>
        <w:rPr>
          <w:rFonts w:ascii="Arial" w:cs="Arial" w:eastAsia="Arial" w:hAnsi="Arial"/>
          <w:sz w:val="18"/>
          <w:szCs w:val="18"/>
          <w:color w:val="auto"/>
        </w:rPr>
        <w:t>We believe we have demonstrated our ability to establish a market presence in</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geographies and 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129" w:lineRule="exact"/>
        <w:rPr>
          <w:sz w:val="20"/>
          <w:szCs w:val="20"/>
          <w:color w:val="auto"/>
        </w:rPr>
      </w:pPr>
    </w:p>
    <w:p>
      <w:pPr>
        <w:jc w:val="both"/>
        <w:ind w:right="20" w:firstLine="324"/>
        <w:spacing w:after="0" w:line="303" w:lineRule="auto"/>
        <w:rPr>
          <w:sz w:val="20"/>
          <w:szCs w:val="20"/>
          <w:color w:val="auto"/>
        </w:rPr>
      </w:pPr>
      <w:r>
        <w:rPr>
          <w:rFonts w:ascii="Arial" w:cs="Arial" w:eastAsia="Arial" w:hAnsi="Arial"/>
          <w:sz w:val="16"/>
          <w:szCs w:val="16"/>
          <w:b w:val="1"/>
          <w:bCs w:val="1"/>
          <w:color w:val="auto"/>
        </w:rPr>
        <w:t xml:space="preserve">End-to-end, cloud-based, technology-enabled platform: </w:t>
      </w:r>
      <w:r>
        <w:rPr>
          <w:rFonts w:ascii="Arial" w:cs="Arial" w:eastAsia="Arial" w:hAnsi="Arial"/>
          <w:sz w:val="16"/>
          <w:szCs w:val="16"/>
          <w:color w:val="auto"/>
        </w:rPr>
        <w:t>The Privia Technology Solution integrates key elements of numerous</w:t>
      </w:r>
      <w:r>
        <w:rPr>
          <w:rFonts w:ascii="Arial" w:cs="Arial" w:eastAsia="Arial" w:hAnsi="Arial"/>
          <w:sz w:val="16"/>
          <w:szCs w:val="16"/>
          <w:b w:val="1"/>
          <w:bCs w:val="1"/>
          <w:color w:val="auto"/>
        </w:rPr>
        <w:t xml:space="preserve"> </w:t>
      </w:r>
      <w:r>
        <w:rPr>
          <w:rFonts w:ascii="Arial" w:cs="Arial" w:eastAsia="Arial" w:hAnsi="Arial"/>
          <w:sz w:val="16"/>
          <w:szCs w:val="16"/>
          <w:color w:val="auto"/>
        </w:rPr>
        <w:t>single-point solutions, enabling our Privia Providers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Ability to serve all practice, provider and patient types across a variety of reimbursement models: </w:t>
      </w:r>
      <w:r>
        <w:rPr>
          <w:rFonts w:ascii="Arial" w:cs="Arial" w:eastAsia="Arial" w:hAnsi="Arial"/>
          <w:sz w:val="18"/>
          <w:szCs w:val="18"/>
          <w:color w:val="auto"/>
        </w:rPr>
        <w:t>The flexibility of our model</w:t>
      </w:r>
      <w:r>
        <w:rPr>
          <w:rFonts w:ascii="Arial" w:cs="Arial" w:eastAsia="Arial" w:hAnsi="Arial"/>
          <w:sz w:val="18"/>
          <w:szCs w:val="18"/>
          <w:b w:val="1"/>
          <w:bCs w:val="1"/>
          <w:color w:val="auto"/>
        </w:rPr>
        <w:t xml:space="preserve"> </w:t>
      </w:r>
      <w:r>
        <w:rPr>
          <w:rFonts w:ascii="Arial" w:cs="Arial" w:eastAsia="Arial" w:hAnsi="Arial"/>
          <w:sz w:val="18"/>
          <w:szCs w:val="18"/>
          <w:color w:val="auto"/>
        </w:rPr>
        <w:t>gives us the ability to improve operations for a variety of provider types, including primary care, specialists and health system employed and affiliated providers. This positions us to grow into a large market opportunity, consisting of commercial, Medicaid, MSSP and Medicare Advantage as well as direct contracting with</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private and government payers and employers. Our ability to improve outcomes for practices across various medical specialties ultimately accrues to the benefit of a larger set of patients than if we were focused on one area of care.</w:t>
      </w:r>
    </w:p>
    <w:p>
      <w:pPr>
        <w:spacing w:after="0" w:line="1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Privia’s capital efficient operations are portable and replicable across geographic markets: </w:t>
      </w:r>
      <w:r>
        <w:rPr>
          <w:rFonts w:ascii="Arial" w:cs="Arial" w:eastAsia="Arial" w:hAnsi="Arial"/>
          <w:sz w:val="16"/>
          <w:szCs w:val="16"/>
          <w:color w:val="auto"/>
        </w:rPr>
        <w:t>We enter a market with an asset-light operating model and employ a disciplined, uniform approach to market structure and development. We affiliate with market leading provider groups and health systems to form anchor relationships consisting of a single-TIN Medical Group to which we align our Privia Providers. In contrast to many of our competitors, our model does not rely on buying physician practices or building de-novo medical clinics that require significant capital expenditures nor does it subject us to the costly need to satisfy insurance-based capital requirements. For further discussion of our competitors, see “—Competitive Landscape” below. The data we have collected from earlier provider cohorts demonstrate that we consistently improve practice performance in 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Long term, sticky relationships underpin our predictable and profitable operating model: </w:t>
      </w:r>
      <w:r>
        <w:rPr>
          <w:rFonts w:ascii="Arial" w:cs="Arial" w:eastAsia="Arial" w:hAnsi="Arial"/>
          <w:sz w:val="18"/>
          <w:szCs w:val="18"/>
          <w:color w:val="auto"/>
        </w:rPr>
        <w:t>Privia Providers have high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with their overall performance on our platform. Our provider NPS of 58 (for the period between April 6, 2021 to April 27, 2021, as surveyed by Press Ganey Associates) is 23 points higher than the average provider score of 35. In addition, we had 95% average provider retention over the past four years. The patients that our providers serve are generally happier as well, as evidenced by a net patient satisfaction score of 85 for 2020.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13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Highly experienced executive and physician leadership: </w:t>
      </w:r>
      <w:r>
        <w:rPr>
          <w:rFonts w:ascii="Arial" w:cs="Arial" w:eastAsia="Arial" w:hAnsi="Arial"/>
          <w:sz w:val="17"/>
          <w:szCs w:val="17"/>
          <w:color w:val="auto"/>
        </w:rPr>
        <w:t>Our management team has significant experience leading payer, provider</w:t>
      </w:r>
      <w:r>
        <w:rPr>
          <w:rFonts w:ascii="Arial" w:cs="Arial" w:eastAsia="Arial" w:hAnsi="Arial"/>
          <w:sz w:val="17"/>
          <w:szCs w:val="17"/>
          <w:b w:val="1"/>
          <w:bCs w:val="1"/>
          <w:color w:val="auto"/>
        </w:rPr>
        <w:t xml:space="preserve"> </w:t>
      </w:r>
      <w:r>
        <w:rPr>
          <w:rFonts w:ascii="Arial" w:cs="Arial" w:eastAsia="Arial" w:hAnsi="Arial"/>
          <w:sz w:val="17"/>
          <w:szCs w:val="17"/>
          <w:color w:val="auto"/>
        </w:rPr>
        <w:t>and healthcare 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 council has helped us develop physician leaders nationally as well as in the markets we serve. We elevate the clinical voice at all levels of leadership to ensure our solutions benefit providers and their patients.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Privia currently operates in seven states and the District of Columbia, covering over 100 target MPSAs (including over 30 out of the largest 100 MPSAs). We have over 3,250 implemented provider partners in our existing markets. 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multiple new markets nationally over the next decade and consists of the following elements.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in Existing Practices</w:t>
      </w:r>
    </w:p>
    <w:p>
      <w:pPr>
        <w:spacing w:after="0" w:line="175" w:lineRule="exact"/>
        <w:rPr>
          <w:sz w:val="20"/>
          <w:szCs w:val="20"/>
          <w:color w:val="auto"/>
        </w:rPr>
      </w:pPr>
    </w:p>
    <w:p>
      <w:pPr>
        <w:ind w:left="640" w:hanging="322"/>
        <w:spacing w:after="0" w:line="27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panel and volume growth through enhanced patient experience and value-based clinical model, which increases retention and drives new patient referrals;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provider growth through strategic expansion, succession planning, and use of advanced practice practitioners;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practice services such as more convenient hours, virtual care, and in-office ancillaries; and</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optimization through more competitive payer contracting strategies and strong revenue cycle performance which drives efficiency and higher revenue realization.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Moving Markets to VBC</w:t>
      </w:r>
    </w:p>
    <w:p>
      <w:pPr>
        <w:spacing w:after="0" w:line="175" w:lineRule="exact"/>
        <w:rPr>
          <w:sz w:val="20"/>
          <w:szCs w:val="20"/>
          <w:color w:val="auto"/>
        </w:rPr>
      </w:pPr>
    </w:p>
    <w:p>
      <w:pPr>
        <w:ind w:left="640" w:hanging="322"/>
        <w:spacing w:after="0" w:line="308"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Focus on same store growth of patients attributed to value-based contracts in each existing geographic market (e.g. we currently have over 170,000 patients aging into Medicare over the next five years in each existing geographic market);</w:t>
      </w:r>
    </w:p>
    <w:p>
      <w:pPr>
        <w:spacing w:after="0" w:line="92" w:lineRule="exact"/>
        <w:rPr>
          <w:rFonts w:ascii="Arial" w:cs="Arial" w:eastAsia="Arial" w:hAnsi="Arial"/>
          <w:sz w:val="17"/>
          <w:szCs w:val="17"/>
          <w:color w:val="auto"/>
        </w:rPr>
      </w:pPr>
    </w:p>
    <w:p>
      <w:pPr>
        <w:jc w:val="both"/>
        <w:ind w:left="640" w:right="20" w:hanging="322"/>
        <w:spacing w:after="0" w:line="263"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new products and programs in partnership with aligned payers that are built with and around the Privia network of physicians and providers.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 Space Opportunities in Existing Markets</w:t>
      </w:r>
    </w:p>
    <w:p>
      <w:pPr>
        <w:spacing w:after="0" w:line="175" w:lineRule="exact"/>
        <w:rPr>
          <w:sz w:val="20"/>
          <w:szCs w:val="20"/>
          <w:color w:val="auto"/>
        </w:rPr>
      </w:pPr>
    </w:p>
    <w:p>
      <w:pPr>
        <w:ind w:left="640" w:right="20" w:hanging="322"/>
        <w:spacing w:after="0" w:line="308"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92" w:lineRule="exact"/>
        <w:rPr>
          <w:rFonts w:ascii="Arial" w:cs="Arial" w:eastAsia="Arial" w:hAnsi="Arial"/>
          <w:sz w:val="17"/>
          <w:szCs w:val="17"/>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recently launched Privia Women’s Health and Privia Pediatrics platforms;</w:t>
      </w:r>
    </w:p>
    <w:p>
      <w:pPr>
        <w:spacing w:after="0" w:line="171" w:lineRule="exact"/>
        <w:rPr>
          <w:rFonts w:ascii="Arial" w:cs="Arial" w:eastAsia="Arial" w:hAnsi="Arial"/>
          <w:sz w:val="18"/>
          <w:szCs w:val="18"/>
          <w:color w:val="auto"/>
        </w:rPr>
      </w:pPr>
    </w:p>
    <w:p>
      <w:pPr>
        <w:ind w:left="640" w:hanging="322"/>
        <w:spacing w:after="0" w:line="308"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92" w:lineRule="exact"/>
        <w:rPr>
          <w:rFonts w:ascii="Arial" w:cs="Arial" w:eastAsia="Arial" w:hAnsi="Arial"/>
          <w:sz w:val="17"/>
          <w:szCs w:val="17"/>
          <w:color w:val="auto"/>
        </w:rPr>
      </w:pPr>
    </w:p>
    <w:p>
      <w:pPr>
        <w:jc w:val="both"/>
        <w:ind w:left="640" w:hanging="322"/>
        <w:spacing w:after="0" w:line="286"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111" w:lineRule="exact"/>
        <w:rPr>
          <w:rFonts w:ascii="Arial" w:cs="Arial" w:eastAsia="Arial" w:hAnsi="Arial"/>
          <w:sz w:val="17"/>
          <w:szCs w:val="17"/>
          <w:color w:val="auto"/>
        </w:rPr>
      </w:pPr>
    </w:p>
    <w:p>
      <w:pPr>
        <w:ind w:left="640" w:right="20" w:hanging="322"/>
        <w:spacing w:after="0" w:line="27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pursue direct contracting opportunities, including direct primary care and onsite / near-site clinics fully integrated with our local Privia networks; and</w:t>
      </w:r>
    </w:p>
    <w:p>
      <w:pPr>
        <w:spacing w:after="0" w:line="116"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clinical research program by designing and executing on clinical trials across multiple therapeutic areas. Privia currently participates in clinical trials of heart failure, chronic obstructive pulmonary disease (“COPD”), diabetes, and COVID vaccine and treatment trials.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 Development</w:t>
      </w:r>
    </w:p>
    <w:p>
      <w:pPr>
        <w:spacing w:after="0" w:line="175" w:lineRule="exact"/>
        <w:rPr>
          <w:sz w:val="20"/>
          <w:szCs w:val="20"/>
          <w:color w:val="auto"/>
        </w:rPr>
      </w:pPr>
    </w:p>
    <w:p>
      <w:pPr>
        <w:ind w:left="640" w:right="20" w:hanging="322"/>
        <w:spacing w:after="0" w:line="27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Privia’s in-market operating structure and ability to serve providers wherever they are on their transition to VBC is designed to benefit each of the approximately one million U.S. providers;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believe our solution is applicable across all 50 states;</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data-driven market selection process identifies attractive expansion opportunities and informs our approach to opening new geographies;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prioritize markets with some or all of the following characteristics:</w:t>
      </w:r>
    </w:p>
    <w:p>
      <w:pPr>
        <w:spacing w:after="0" w:line="171" w:lineRule="exact"/>
        <w:rPr>
          <w:rFonts w:ascii="Arial" w:cs="Arial" w:eastAsia="Arial" w:hAnsi="Arial"/>
          <w:sz w:val="18"/>
          <w:szCs w:val="18"/>
          <w:color w:val="auto"/>
        </w:rPr>
      </w:pPr>
    </w:p>
    <w:p>
      <w:pPr>
        <w:ind w:left="1280" w:hanging="314"/>
        <w:spacing w:after="0"/>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High provider density</w:t>
      </w:r>
    </w:p>
    <w:p>
      <w:pPr>
        <w:spacing w:after="0" w:line="171" w:lineRule="exact"/>
        <w:rPr>
          <w:rFonts w:ascii="Arial" w:cs="Arial" w:eastAsia="Arial" w:hAnsi="Arial"/>
          <w:sz w:val="18"/>
          <w:szCs w:val="18"/>
          <w:color w:val="auto"/>
        </w:rPr>
      </w:pPr>
    </w:p>
    <w:p>
      <w:pPr>
        <w:ind w:left="1280" w:hanging="314"/>
        <w:spacing w:after="0"/>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High patient density</w:t>
      </w:r>
    </w:p>
    <w:p>
      <w:pPr>
        <w:spacing w:after="0" w:line="171" w:lineRule="exact"/>
        <w:rPr>
          <w:rFonts w:ascii="Arial" w:cs="Arial" w:eastAsia="Arial" w:hAnsi="Arial"/>
          <w:sz w:val="18"/>
          <w:szCs w:val="18"/>
          <w:color w:val="auto"/>
        </w:rPr>
      </w:pPr>
    </w:p>
    <w:p>
      <w:pPr>
        <w:ind w:left="1280" w:hanging="314"/>
        <w:spacing w:after="0"/>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Demographic tailwinds, such as an aging population</w:t>
      </w:r>
    </w:p>
    <w:p>
      <w:pPr>
        <w:spacing w:after="0" w:line="171" w:lineRule="exact"/>
        <w:rPr>
          <w:rFonts w:ascii="Arial" w:cs="Arial" w:eastAsia="Arial" w:hAnsi="Arial"/>
          <w:sz w:val="18"/>
          <w:szCs w:val="18"/>
          <w:color w:val="auto"/>
        </w:rPr>
      </w:pPr>
    </w:p>
    <w:p>
      <w:pPr>
        <w:ind w:left="1280" w:hanging="314"/>
        <w:spacing w:after="0"/>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Multiple potential medical group partners</w:t>
      </w:r>
    </w:p>
    <w:p>
      <w:pPr>
        <w:spacing w:after="0" w:line="171" w:lineRule="exact"/>
        <w:rPr>
          <w:rFonts w:ascii="Arial" w:cs="Arial" w:eastAsia="Arial" w:hAnsi="Arial"/>
          <w:sz w:val="18"/>
          <w:szCs w:val="18"/>
          <w:color w:val="auto"/>
        </w:rPr>
      </w:pPr>
    </w:p>
    <w:p>
      <w:pPr>
        <w:ind w:left="1280" w:hanging="314"/>
        <w:spacing w:after="0"/>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Presence of value-oriented health systems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hanging="314"/>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Payers seeking and aligned to high value scaled physician organizations</w:t>
      </w:r>
    </w:p>
    <w:p>
      <w:pPr>
        <w:spacing w:after="0" w:line="171" w:lineRule="exact"/>
        <w:rPr>
          <w:rFonts w:ascii="Arial" w:cs="Arial" w:eastAsia="Arial" w:hAnsi="Arial"/>
          <w:sz w:val="18"/>
          <w:szCs w:val="18"/>
          <w:color w:val="auto"/>
        </w:rPr>
      </w:pPr>
    </w:p>
    <w:p>
      <w:pPr>
        <w:ind w:left="1300" w:hanging="334"/>
        <w:spacing w:after="0" w:line="277"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evaluate the broader market landscape for attractive opportunities on a continuous basis and proactively develop relationships before committing to enter a market;</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Due to our active and ongoing new market reviews and evaluations, when we enter a new market, we are able to move quickly and efficiently to capture and maximize the opportunity; and</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longstanding track record of successful, profitable expansion that we will leverage to execute on our robust pipeline of new markets opportunities.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 in Full Service Care Models</w:t>
      </w:r>
    </w:p>
    <w:p>
      <w:pPr>
        <w:spacing w:after="0" w:line="175" w:lineRule="exact"/>
        <w:rPr>
          <w:sz w:val="20"/>
          <w:szCs w:val="20"/>
          <w:color w:val="auto"/>
        </w:rPr>
      </w:pPr>
    </w:p>
    <w:p>
      <w:pPr>
        <w:ind w:left="640" w:right="2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growth playbook also factors in the opportunity to acquire minority or majority ownership of provider groups in existing and new markets; and</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also open de-novo, wholly or partially owned, sites of care focused on Medicare Advantage, direct contracting, and fully capitated contracts in existing and new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Landscape</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12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Commencing in mid-March 2020, community self-isolation practices and shelter-in-place requirements arising from the COVID-19 pandemic reduced in-office visits, negatively affecting our FFS revenue. Utilization volume for in-office visits declined from mid-March 2020 through April 2020 but began recovering thereafter. Notably, commencing in the second half of 2020, utilization volume for in-office visits approached pre-COVID-19 levels. In response to the impact on our Medical Groups, Privia quickly launched provider and patient communication campaigns to transition from in-person to virtual visits, as clinically appropriate. Privia’s cross-functional Coronavirus Task Force assisted practices with managing the financial impact of unprecedented visit volume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reductions and securing personal protective equipment. Over 2,300 providers continued to deliver care to patients via Privia’s proprietary telehealth platform. Privia also launched its 24/7 virtual clinic which provides on demand access to Privia providers for urgent issues if a patient’s primary care provider is not available, and expanded the offering directly to individuals and employers as they explore alternative fully integrated care models to manage a remote workforce. Privia’s virtual visit volumes increased from approximately 100 per day to more than 6,000 per day on average in the span of four weeks without operational disruption. Virtual visit volume increased rapidly, from approximately 0.3% of all visits prior to the COVID outbreak to more than 45% at the beginning of April 2020. In the first nine months of 2021, approximately 10-15% of our visit volume was delivered virtually across our markets and specialties and we anticipate that to hold steady post-COVID.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October 18, 2021, we announced our entry into California and West Texas through an affiliation with BASS Medical Group and a partnership with Abilene Diagnostic Clinic, respectively. BASS Medical Group, one of the Greater San Francisco Bay Area’s leading healthcare multi-specialty groups, cares for patients at over 125 locations with more than 400 providers spanning 42 specialties, and will serve as Privia Health’s market anchor in California as the Company expands across the state. With the launch of Privia Medical Group West Texas, Privia Health plans to expand from Abilene, Texas to the Texas Panhandle and across East Texas and West Texas. This will complement Privia Health’s established and expanding provider practice locations in North Texas and the Gulf Coast region of the state, which in aggregate currently comprise more than 600 providers in over 200 care center locations.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Before investing in our stock, you should carefully consider all the information in this prospectus, including matters discussed more fully under the heading “Risk Factors.” These risks include, but are not limited to, the following:</w:t>
      </w:r>
    </w:p>
    <w:p>
      <w:pPr>
        <w:spacing w:after="0" w:line="116" w:lineRule="exact"/>
        <w:rPr>
          <w:sz w:val="20"/>
          <w:szCs w:val="20"/>
          <w:color w:val="auto"/>
        </w:rPr>
      </w:pPr>
    </w:p>
    <w:p>
      <w:pPr>
        <w:jc w:val="both"/>
        <w:ind w:left="640" w:hanging="322"/>
        <w:spacing w:after="0" w:line="311"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could harm our business;</w:t>
      </w:r>
    </w:p>
    <w:p>
      <w:pPr>
        <w:spacing w:after="0" w:line="94" w:lineRule="exact"/>
        <w:rPr>
          <w:rFonts w:ascii="Arial" w:cs="Arial" w:eastAsia="Arial" w:hAnsi="Arial"/>
          <w:sz w:val="16"/>
          <w:szCs w:val="16"/>
          <w:color w:val="auto"/>
        </w:rPr>
      </w:pPr>
    </w:p>
    <w:p>
      <w:pPr>
        <w:jc w:val="both"/>
        <w:ind w:left="640" w:hanging="322"/>
        <w:spacing w:after="0" w:line="263"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model could be challenged and, if any challenges are successful, we could incur financial penalties, become excluded from participating in government health care programs, be required to make significant operational changes or experience adverse publicity, which could harm our business;</w:t>
      </w:r>
    </w:p>
    <w:p>
      <w:pPr>
        <w:spacing w:after="0" w:line="129"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actual or perceived failure to adequately protect the privacy and security of our patients’ information, or a breach of our patient’s information could result in financial penalties, require us to incur significant costs to mitigate such, and result in adverse publicity, which could harm our business;</w:t>
      </w:r>
    </w:p>
    <w:p>
      <w:pPr>
        <w:spacing w:after="0" w:line="129" w:lineRule="exact"/>
        <w:rPr>
          <w:rFonts w:ascii="Arial" w:cs="Arial" w:eastAsia="Arial" w:hAnsi="Arial"/>
          <w:sz w:val="18"/>
          <w:szCs w:val="18"/>
          <w:color w:val="auto"/>
        </w:rPr>
      </w:pPr>
    </w:p>
    <w:p>
      <w:pPr>
        <w:ind w:left="640" w:hanging="32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history of net losses, and our ability to achieve or maintain profitability in an environment of increasing expenses;</w:t>
      </w:r>
    </w:p>
    <w:p>
      <w:pPr>
        <w:spacing w:after="0" w:line="182" w:lineRule="exact"/>
        <w:rPr>
          <w:rFonts w:ascii="Arial" w:cs="Arial" w:eastAsia="Arial" w:hAnsi="Arial"/>
          <w:sz w:val="17"/>
          <w:szCs w:val="17"/>
          <w:color w:val="auto"/>
        </w:rPr>
      </w:pPr>
    </w:p>
    <w:p>
      <w:pPr>
        <w:ind w:left="640" w:right="20" w:hanging="322"/>
        <w:spacing w:after="0" w:line="27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healthcare reform legislation and other changes in the healthcare industry and in healthcare spending is currently unknown, and may harm our business;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government regulations may increase costs or negatively impact our results of operations;</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 may continue to have an adverse impact on our business, operations, and the markets and communities in which we operate;</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reimbursements by third-party payers and payments by individuals;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reliance on third-party vendors to host and maintain the Privia Technology Solution;</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maintain and renew existing physician practices, Privia Physicians, health system or hospital partners, or commercial payer customers do not continue to renew their contracts with us;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adequately expand our direct sales force and our business development staff;</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viability of our growth strategy and our ability to realize expected results;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management continuity planning;</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adverse impact of legal proceedings and litigation;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business results may suffer from an economic downturn.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were formed on November 7, 2007, as a Delaware limited liability company pursuant to the Delaware Limited Liability Company Act. Our principal executive offices are located at 950 N. Glebe Rd., Suite 700, Arlington, VA, 22203 and our telephone number is (571) 366-8850. Our internet site is www.priviahealth.com. Our website and the information contained therein or connected thereto is not incorporated into this prospectus or the registration statement of which it forms a part.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company with less than $1.07 billion in revenue during our last fiscal year and which has not issued more than $1 billion in non-convertible debt in the past three years, we qualify as an “emerging growth company” as defined in the Jumpstart Our Business Startups Act of 2012 (the “JOBS Act”), enacted in April 2012. An “emerging growth company” may take advantage of exemptions from some of the reporting requirements that are otherwise applicable to public companies that are not emerging growth companies. These exemptions, among others, include:</w:t>
      </w:r>
    </w:p>
    <w:p>
      <w:pPr>
        <w:spacing w:after="0" w:line="134" w:lineRule="exact"/>
        <w:rPr>
          <w:sz w:val="20"/>
          <w:szCs w:val="20"/>
          <w:color w:val="auto"/>
        </w:rPr>
      </w:pPr>
    </w:p>
    <w:p>
      <w:pPr>
        <w:ind w:left="640" w:right="20" w:hanging="322"/>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consolidated financial statements and only two years of related Management’s Discussion and Analysis of Financial Condition and Results of Operations in this prospectus;</w:t>
      </w:r>
    </w:p>
    <w:p>
      <w:pPr>
        <w:spacing w:after="0" w:line="116" w:lineRule="exact"/>
        <w:rPr>
          <w:rFonts w:ascii="Arial" w:cs="Arial" w:eastAsia="Arial" w:hAnsi="Arial"/>
          <w:sz w:val="18"/>
          <w:szCs w:val="18"/>
          <w:color w:val="auto"/>
        </w:rPr>
      </w:pPr>
    </w:p>
    <w:p>
      <w:pPr>
        <w:ind w:left="640" w:right="20" w:hanging="322"/>
        <w:spacing w:after="0" w:line="308"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(the “Sarbanes-Oxley Act” or “SOX”), in the assessment of our internal control over financial reporting;</w:t>
      </w:r>
    </w:p>
    <w:p>
      <w:pPr>
        <w:spacing w:after="0" w:line="92" w:lineRule="exact"/>
        <w:rPr>
          <w:rFonts w:ascii="Arial" w:cs="Arial" w:eastAsia="Arial" w:hAnsi="Arial"/>
          <w:sz w:val="17"/>
          <w:szCs w:val="17"/>
          <w:color w:val="auto"/>
        </w:rPr>
      </w:pPr>
    </w:p>
    <w:p>
      <w:pPr>
        <w:ind w:left="640" w:right="20" w:hanging="322"/>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of the Public Company Accounting Oversight Board regarding the communication of critical audit matters in the auditor’s report on the financial statements; and</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 from the requirements of holding a nonbinding advisory vote on executive compensation and obtaining stockholder approval of any golden parachute payments not previously approved.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We will remain an emerging growth company until the last day of our fiscal year following the fifth anniversary of the completion of our initial public offering. However, if certain events occur prior to the end of such five-year period,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115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311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including, but not limited to, if we have more than $700.0 million in market value of our common stock held by non-affiliates (assessed as of the most recently completed second fiscal quarter), or if our annual gross revenue exceeds $1.07 billion or we issue more than $1.0 billion of non-convertible debt in any three-year period, we will become a large accelerated filler and cease to be an emerging growth company prior to the end of such five-year period.</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some, but not all, of the reduced reporting requirements in future filings. As a result, the information that we provide to our stockholders may be different than you might receive from other public reporting companies in which you hold equity interests. In addition, the JOBS Act provides that an emerging growth company can take advantage of an extended transition period for complying with new or revised accounting standards until such time as those standards apply to private companies. We have elected not to opt out of the extended transition related to complying with new or revised accounting standards, which means that when a standard is issued or revised and it has different application dates for public and non-public companies, we can adopt the new or revised standard at the time non-public companies adopt the new or revised standard and can do so until such time that we either irrevocably elect to opt out of such extended transition period or no longer qualifies as an emerging growth company. We may choose to early adopt any new or revised accounting standards whenever such early adoption is permitted for non-public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 w:right="4560"/>
        <w:spacing w:after="0" w:line="422" w:lineRule="auto"/>
        <w:rPr>
          <w:sz w:val="20"/>
          <w:szCs w:val="20"/>
          <w:color w:val="auto"/>
        </w:rPr>
      </w:pPr>
      <w:r>
        <w:rPr>
          <w:rFonts w:ascii="Arial" w:cs="Arial" w:eastAsia="Arial" w:hAnsi="Arial"/>
          <w:sz w:val="16"/>
          <w:szCs w:val="16"/>
          <w:color w:val="auto"/>
        </w:rPr>
        <w:t>Common stock offered by the selling stockholders 6,000,000 shares Common stock to be outstanding after this offering 106,234,792 shares</w:t>
      </w:r>
    </w:p>
    <w:p>
      <w:pPr>
        <w:spacing w:after="0" w:line="1" w:lineRule="exact"/>
        <w:rPr>
          <w:sz w:val="20"/>
          <w:szCs w:val="20"/>
          <w:color w:val="auto"/>
        </w:rPr>
      </w:pPr>
    </w:p>
    <w:p>
      <w:pPr>
        <w:ind w:left="20"/>
        <w:spacing w:after="0"/>
        <w:tabs>
          <w:tab w:leader="none" w:pos="3940" w:val="left"/>
        </w:tabs>
        <w:rPr>
          <w:sz w:val="20"/>
          <w:szCs w:val="20"/>
          <w:color w:val="auto"/>
        </w:rPr>
      </w:pPr>
      <w:r>
        <w:rPr>
          <w:rFonts w:ascii="Arial" w:cs="Arial" w:eastAsia="Arial" w:hAnsi="Arial"/>
          <w:sz w:val="18"/>
          <w:szCs w:val="18"/>
          <w:color w:val="auto"/>
        </w:rPr>
        <w:t>Option to purchase additional shares</w:t>
      </w:r>
      <w:r>
        <w:rPr>
          <w:sz w:val="20"/>
          <w:szCs w:val="20"/>
          <w:color w:val="auto"/>
        </w:rPr>
        <w:tab/>
      </w:r>
      <w:r>
        <w:rPr>
          <w:rFonts w:ascii="Arial" w:cs="Arial" w:eastAsia="Arial" w:hAnsi="Arial"/>
          <w:sz w:val="16"/>
          <w:szCs w:val="16"/>
          <w:color w:val="auto"/>
        </w:rPr>
        <w:t>The underwriters have an option for a period of 30 days to purchase up</w:t>
      </w:r>
    </w:p>
    <w:p>
      <w:pPr>
        <w:spacing w:after="0" w:line="23" w:lineRule="exact"/>
        <w:rPr>
          <w:sz w:val="20"/>
          <w:szCs w:val="20"/>
          <w:color w:val="auto"/>
        </w:rPr>
      </w:pPr>
    </w:p>
    <w:p>
      <w:pPr>
        <w:ind w:left="3960" w:right="200"/>
        <w:spacing w:after="0" w:line="323" w:lineRule="auto"/>
        <w:rPr>
          <w:sz w:val="20"/>
          <w:szCs w:val="20"/>
          <w:color w:val="auto"/>
        </w:rPr>
      </w:pPr>
      <w:r>
        <w:rPr>
          <w:rFonts w:ascii="Arial" w:cs="Arial" w:eastAsia="Arial" w:hAnsi="Arial"/>
          <w:sz w:val="16"/>
          <w:szCs w:val="16"/>
          <w:color w:val="auto"/>
        </w:rPr>
        <w:t>to 900,000 additional shares of our common stock from the selling stockholders at the public offering price, less underwriting discounts and commissions.</w:t>
      </w:r>
    </w:p>
    <w:p>
      <w:pPr>
        <w:spacing w:after="0" w:line="30" w:lineRule="exact"/>
        <w:rPr>
          <w:sz w:val="20"/>
          <w:szCs w:val="20"/>
          <w:color w:val="auto"/>
        </w:rPr>
      </w:pPr>
    </w:p>
    <w:p>
      <w:pPr>
        <w:ind w:left="20"/>
        <w:spacing w:after="0"/>
        <w:tabs>
          <w:tab w:leader="none" w:pos="39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shares of our common stock by</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selling stockholders.</w:t>
      </w:r>
    </w:p>
    <w:p>
      <w:pPr>
        <w:spacing w:after="0" w:line="211" w:lineRule="exact"/>
        <w:rPr>
          <w:sz w:val="20"/>
          <w:szCs w:val="20"/>
          <w:color w:val="auto"/>
        </w:rPr>
      </w:pPr>
    </w:p>
    <w:p>
      <w:pPr>
        <w:ind w:left="20"/>
        <w:spacing w:after="0"/>
        <w:tabs>
          <w:tab w:leader="none" w:pos="394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Investment entities affiliated with Goldman Sachs &amp; Co. LLC hold</w:t>
      </w:r>
    </w:p>
    <w:p>
      <w:pPr>
        <w:spacing w:after="0" w:line="23" w:lineRule="exact"/>
        <w:rPr>
          <w:sz w:val="20"/>
          <w:szCs w:val="20"/>
          <w:color w:val="auto"/>
        </w:rPr>
      </w:pPr>
    </w:p>
    <w:p>
      <w:pPr>
        <w:ind w:left="3960" w:right="80"/>
        <w:spacing w:after="0" w:line="268" w:lineRule="auto"/>
        <w:rPr>
          <w:sz w:val="20"/>
          <w:szCs w:val="20"/>
          <w:color w:val="auto"/>
        </w:rPr>
      </w:pPr>
      <w:r>
        <w:rPr>
          <w:rFonts w:ascii="Arial" w:cs="Arial" w:eastAsia="Arial" w:hAnsi="Arial"/>
          <w:sz w:val="17"/>
          <w:szCs w:val="17"/>
          <w:color w:val="auto"/>
        </w:rPr>
        <w:t>approximately 28.7% of our capital stock as of immediately prior to this offering. Accordingly, Goldman Sachs &amp; Co. LLC may be deemed to have a conflict of interest within the meaning of Rule 5121 (“Rule 5121”) of the Financial Industry Regulatory Authority, Inc. (“FINRA”). Therefore, this offering is being made in compliance with the requirements of Rule 5121. A qualified independent underwriter is not necessary for this offering pursuant to FINRA Rule 5121(a)(1) (A). Pursuant to FINRA Rule 5121, Goldman Sachs &amp; Co. LLC will not confirm sales of our common stock to any account over which it exercises discretionary authority without the prior written approval of the customer. For more information, see “Underwriting (Conflicts of Interest).”</w:t>
      </w:r>
    </w:p>
    <w:p>
      <w:pPr>
        <w:spacing w:after="0" w:line="71" w:lineRule="exact"/>
        <w:rPr>
          <w:sz w:val="20"/>
          <w:szCs w:val="20"/>
          <w:color w:val="auto"/>
        </w:rPr>
      </w:pPr>
    </w:p>
    <w:p>
      <w:pPr>
        <w:ind w:left="20"/>
        <w:spacing w:after="0"/>
        <w:tabs>
          <w:tab w:leader="none" w:pos="39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common stock involves a high degree of risk. See “Risk Factors”</w:t>
      </w:r>
    </w:p>
    <w:p>
      <w:pPr>
        <w:spacing w:after="0" w:line="23" w:lineRule="exact"/>
        <w:rPr>
          <w:sz w:val="20"/>
          <w:szCs w:val="20"/>
          <w:color w:val="auto"/>
        </w:rPr>
      </w:pPr>
    </w:p>
    <w:p>
      <w:pPr>
        <w:ind w:left="3960" w:right="500"/>
        <w:spacing w:after="0" w:line="260" w:lineRule="auto"/>
        <w:rPr>
          <w:sz w:val="20"/>
          <w:szCs w:val="20"/>
          <w:color w:val="auto"/>
        </w:rPr>
      </w:pPr>
      <w:r>
        <w:rPr>
          <w:rFonts w:ascii="Arial" w:cs="Arial" w:eastAsia="Arial" w:hAnsi="Arial"/>
          <w:sz w:val="18"/>
          <w:szCs w:val="18"/>
          <w:color w:val="auto"/>
        </w:rPr>
        <w:t>elsewhere in this prospectus for a discussion of factors you should carefully consider before deciding to invest in our common stock.</w:t>
      </w:r>
    </w:p>
    <w:p>
      <w:pPr>
        <w:spacing w:after="0" w:line="77" w:lineRule="exact"/>
        <w:rPr>
          <w:sz w:val="20"/>
          <w:szCs w:val="20"/>
          <w:color w:val="auto"/>
        </w:rPr>
      </w:pPr>
    </w:p>
    <w:p>
      <w:pPr>
        <w:ind w:left="20"/>
        <w:spacing w:after="0"/>
        <w:tabs>
          <w:tab w:leader="none" w:pos="3940" w:val="left"/>
        </w:tabs>
        <w:rPr>
          <w:sz w:val="20"/>
          <w:szCs w:val="20"/>
          <w:color w:val="auto"/>
        </w:rPr>
      </w:pPr>
      <w:r>
        <w:rPr>
          <w:rFonts w:ascii="Arial" w:cs="Arial" w:eastAsia="Arial" w:hAnsi="Arial"/>
          <w:sz w:val="18"/>
          <w:szCs w:val="18"/>
          <w:color w:val="auto"/>
        </w:rPr>
        <w:t>Nasdaq Stock symbol</w:t>
      </w:r>
      <w:r>
        <w:rPr>
          <w:sz w:val="20"/>
          <w:szCs w:val="20"/>
          <w:color w:val="auto"/>
        </w:rPr>
        <w:tab/>
      </w:r>
      <w:r>
        <w:rPr>
          <w:rFonts w:ascii="Arial" w:cs="Arial" w:eastAsia="Arial" w:hAnsi="Arial"/>
          <w:sz w:val="16"/>
          <w:szCs w:val="16"/>
          <w:color w:val="auto"/>
        </w:rPr>
        <w:t>PRVA</w:t>
      </w:r>
    </w:p>
    <w:p>
      <w:pPr>
        <w:spacing w:after="0" w:line="2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number of shares of common stock to be outstanding following this offering is based on 106,234,792 shares of common stock outstanding as of September 30, 2021, and excludes:</w:t>
      </w:r>
    </w:p>
    <w:p>
      <w:pPr>
        <w:spacing w:after="0" w:line="116" w:lineRule="exact"/>
        <w:rPr>
          <w:sz w:val="20"/>
          <w:szCs w:val="20"/>
          <w:color w:val="auto"/>
        </w:rPr>
      </w:pPr>
    </w:p>
    <w:p>
      <w:pPr>
        <w:ind w:left="640" w:right="20" w:hanging="322"/>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794,420 shares of common stock reserved for future issuance under our Second Amended and Restated Stock Option Plan as of September 30, 2021; and</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21,530,806 shares of common stock issuable upon the exercise of options outstanding as of September 30, 2021 at a weighted average price of $5.61 per share;</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989,652 unvested restricted stock units at a grant date fair value of $23.23 per share;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5,425,574 shares of common stock reserved for future issuance under our Omnibus Incentive Plan.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Unless otherwise indicated, all information in this prospectus assumes no exercise by the underwriters of their option to purchase up to 900,000 additional shares of common stock from the selling shareholders.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99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669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following tables summarize our consolidated financial data. The summary condensed consolidated statement of operations data for the nine months ended September 30, 2021 and 2020 and the condensed consolidated balance sheet data as of September 30, 2021 are derived from our unaudited condensed consolidated financial statements that are included elsewhere in this prospectus. The summary consolidated statements of operations data for the years ended December 31, 2020, 2019 and 2018 and the consolidated balance sheet data as of December 31, 2020 and 2019 have been derived from our audited consolidated financial statements included elsewhere in this prospectus. The results of operations for the nine months ended September 30, 2021, are not indicative of the results to be expected for the full fiscal year ending December 31, 2021. In the opinion of management, all adjustments (consisting of only normal and recurring adjustments) considered necessary for a fair statement have been included.</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historical results are not necessarily indicative of the results that may be expected in the future. You should read the summary historical financial data below in conjunction with the section titled “Management’s Discussion and Analysis of Financial Condition and Results of Operations” and the financial statements and related notes included elsewhere in this prospectus.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spacing w:after="0"/>
              <w:rPr>
                <w:sz w:val="20"/>
                <w:szCs w:val="20"/>
                <w:color w:val="auto"/>
              </w:rPr>
            </w:pPr>
            <w:r>
              <w:rPr>
                <w:rFonts w:ascii="Arial" w:cs="Arial" w:eastAsia="Arial" w:hAnsi="Arial"/>
                <w:sz w:val="14"/>
                <w:szCs w:val="14"/>
                <w:b w:val="1"/>
                <w:bCs w:val="1"/>
                <w:color w:val="auto"/>
              </w:rPr>
              <w:t>For the Nine Months Ended September 30,</w:t>
            </w:r>
          </w:p>
        </w:tc>
        <w:tc>
          <w:tcPr>
            <w:tcW w:w="240" w:type="dxa"/>
            <w:vAlign w:val="bottom"/>
          </w:tcPr>
          <w:p>
            <w:pPr>
              <w:spacing w:after="0"/>
              <w:rPr>
                <w:sz w:val="16"/>
                <w:szCs w:val="16"/>
                <w:color w:val="auto"/>
              </w:rPr>
            </w:pPr>
          </w:p>
        </w:tc>
        <w:tc>
          <w:tcPr>
            <w:tcW w:w="274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w w:val="98"/>
              </w:rPr>
              <w:t>(Amounts in thousands, except share and per share</w:t>
            </w:r>
          </w:p>
        </w:tc>
        <w:tc>
          <w:tcPr>
            <w:tcW w:w="1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data)</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657,609</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Physician and practice expense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527,923</w:t>
            </w:r>
          </w:p>
        </w:tc>
        <w:tc>
          <w:tcPr>
            <w:tcW w:w="0" w:type="dxa"/>
            <w:vAlign w:val="bottom"/>
          </w:tcPr>
          <w:p>
            <w:pPr>
              <w:spacing w:after="0"/>
              <w:rPr>
                <w:sz w:val="1"/>
                <w:szCs w:val="1"/>
                <w:color w:val="auto"/>
              </w:rPr>
            </w:pPr>
          </w:p>
        </w:tc>
      </w:tr>
      <w:tr>
        <w:trPr>
          <w:trHeight w:val="230"/>
        </w:trPr>
        <w:tc>
          <w:tcPr>
            <w:tcW w:w="2960" w:type="dxa"/>
            <w:vAlign w:val="bottom"/>
          </w:tcPr>
          <w:p>
            <w:pPr>
              <w:ind w:left="340"/>
              <w:spacing w:after="0"/>
              <w:rPr>
                <w:sz w:val="20"/>
                <w:szCs w:val="20"/>
                <w:color w:val="auto"/>
              </w:rPr>
            </w:pPr>
            <w:r>
              <w:rPr>
                <w:rFonts w:ascii="Arial" w:cs="Arial" w:eastAsia="Arial" w:hAnsi="Arial"/>
                <w:sz w:val="18"/>
                <w:szCs w:val="18"/>
                <w:color w:val="auto"/>
              </w:rPr>
              <w:t>Cost of platform</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30"/>
        </w:trPr>
        <w:tc>
          <w:tcPr>
            <w:tcW w:w="29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770,298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655,454</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(Loss) income before (benefit from)</w:t>
            </w:r>
          </w:p>
        </w:tc>
        <w:tc>
          <w:tcPr>
            <w:tcW w:w="1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(198,974)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19,738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(Benefit from) Provision for income</w:t>
            </w: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Less: Loss attributable to non-</w:t>
            </w: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controlling interests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(loss) income attributable to Privia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(176,251)</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27,380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Health Group, Inc.</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2"/>
              </w:rPr>
              <w:t>Net (loss) income per share attributable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180"/>
              <w:spacing w:after="0" w:line="176" w:lineRule="exact"/>
              <w:rPr>
                <w:sz w:val="20"/>
                <w:szCs w:val="20"/>
                <w:color w:val="auto"/>
              </w:rPr>
            </w:pPr>
            <w:r>
              <w:rPr>
                <w:rFonts w:ascii="Arial" w:cs="Arial" w:eastAsia="Arial" w:hAnsi="Arial"/>
                <w:sz w:val="18"/>
                <w:szCs w:val="18"/>
                <w:color w:val="auto"/>
              </w:rPr>
              <w:t>to Privia Health Group, Inc.</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8"/>
        </w:trPr>
        <w:tc>
          <w:tcPr>
            <w:tcW w:w="2960" w:type="dxa"/>
            <w:vAlign w:val="bottom"/>
          </w:tcPr>
          <w:p>
            <w:pPr>
              <w:ind w:left="180"/>
              <w:spacing w:after="0" w:line="202" w:lineRule="exact"/>
              <w:rPr>
                <w:sz w:val="20"/>
                <w:szCs w:val="20"/>
                <w:color w:val="auto"/>
              </w:rPr>
            </w:pPr>
            <w:r>
              <w:rPr>
                <w:rFonts w:ascii="Arial" w:cs="Arial" w:eastAsia="Arial" w:hAnsi="Arial"/>
                <w:sz w:val="18"/>
                <w:szCs w:val="18"/>
                <w:color w:val="auto"/>
              </w:rPr>
              <w:t>stockholders – basic and diluted</w:t>
            </w:r>
          </w:p>
        </w:tc>
        <w:tc>
          <w:tcPr>
            <w:tcW w:w="1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common shares</w:t>
            </w: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101,576,775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95,945,804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95,950,062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95,931,549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95,880,506</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 basic and diluted</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044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6"/>
                <w:szCs w:val="16"/>
                <w:color w:val="auto"/>
              </w:rPr>
            </w:pPr>
          </w:p>
        </w:tc>
        <w:tc>
          <w:tcPr>
            <w:tcW w:w="25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r>
      <w:tr>
        <w:trPr>
          <w:trHeight w:val="186"/>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12"/>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89"/>
              </w:rPr>
              <w:t>362,112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46,889</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9"/>
                <w:szCs w:val="19"/>
                <w:color w:val="auto"/>
              </w:rPr>
            </w:pPr>
          </w:p>
        </w:tc>
        <w:tc>
          <w:tcPr>
            <w:tcW w:w="1220" w:type="dxa"/>
            <w:vAlign w:val="bottom"/>
          </w:tcPr>
          <w:p>
            <w:pPr>
              <w:jc w:val="center"/>
              <w:ind w:left="414"/>
              <w:spacing w:after="0"/>
              <w:rPr>
                <w:sz w:val="20"/>
                <w:szCs w:val="20"/>
                <w:color w:val="auto"/>
              </w:rPr>
            </w:pPr>
            <w:r>
              <w:rPr>
                <w:rFonts w:ascii="Arial" w:cs="Arial" w:eastAsia="Arial" w:hAnsi="Arial"/>
                <w:sz w:val="18"/>
                <w:szCs w:val="18"/>
                <w:color w:val="auto"/>
                <w:w w:val="92"/>
              </w:rPr>
              <w:t>282,182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14,379</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2"/>
              </w:rPr>
              <w:t>632,061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270,205</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20" w:type="dxa"/>
            <w:vAlign w:val="bottom"/>
          </w:tcPr>
          <w:p>
            <w:pPr>
              <w:jc w:val="center"/>
              <w:ind w:left="414"/>
              <w:spacing w:after="0"/>
              <w:rPr>
                <w:sz w:val="20"/>
                <w:szCs w:val="20"/>
                <w:color w:val="auto"/>
              </w:rPr>
            </w:pPr>
            <w:r>
              <w:rPr>
                <w:rFonts w:ascii="Arial" w:cs="Arial" w:eastAsia="Arial" w:hAnsi="Arial"/>
                <w:sz w:val="18"/>
                <w:szCs w:val="18"/>
                <w:color w:val="auto"/>
                <w:w w:val="92"/>
              </w:rPr>
              <w:t>187,242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115,220</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2"/>
              </w:rPr>
              <w:t>227,066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162,749</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220" w:type="dxa"/>
            <w:vAlign w:val="bottom"/>
          </w:tcPr>
          <w:p>
            <w:pPr>
              <w:jc w:val="center"/>
              <w:ind w:left="394"/>
              <w:spacing w:after="0"/>
              <w:rPr>
                <w:sz w:val="20"/>
                <w:szCs w:val="20"/>
                <w:color w:val="auto"/>
              </w:rPr>
            </w:pPr>
            <w:r>
              <w:rPr>
                <w:rFonts w:ascii="Arial" w:cs="Arial" w:eastAsia="Arial" w:hAnsi="Arial"/>
                <w:sz w:val="18"/>
                <w:szCs w:val="18"/>
                <w:color w:val="auto"/>
                <w:w w:val="90"/>
              </w:rPr>
              <w:t>(196,129)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(51,122)</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2"/>
              </w:rPr>
              <w:t>404,995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107,456</w:t>
            </w:r>
          </w:p>
        </w:tc>
      </w:tr>
    </w:tbl>
    <w:p>
      <w:pPr>
        <w:spacing w:after="0" w:line="242" w:lineRule="exact"/>
        <w:rPr>
          <w:sz w:val="20"/>
          <w:szCs w:val="20"/>
          <w:color w:val="auto"/>
        </w:rPr>
      </w:pPr>
    </w:p>
    <w:p>
      <w:pPr>
        <w:jc w:val="both"/>
        <w:ind w:left="6" w:firstLine="324"/>
        <w:spacing w:after="0" w:line="277" w:lineRule="auto"/>
        <w:rPr>
          <w:sz w:val="20"/>
          <w:szCs w:val="20"/>
          <w:color w:val="auto"/>
        </w:rPr>
      </w:pPr>
      <w:r>
        <w:rPr>
          <w:rFonts w:ascii="Arial" w:cs="Arial" w:eastAsia="Arial" w:hAnsi="Arial"/>
          <w:sz w:val="18"/>
          <w:szCs w:val="18"/>
          <w:color w:val="auto"/>
        </w:rPr>
        <w:t>We define working capital as current assets less current liabilities. See our financial statements appearing elsewhere in this prospectus for further details regarding our current assets and current liabilities.</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Other Data:</w:t>
      </w:r>
    </w:p>
    <w:p>
      <w:pPr>
        <w:spacing w:after="0" w:line="175"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Key Metrics</w:t>
      </w:r>
    </w:p>
    <w:p>
      <w:pPr>
        <w:spacing w:after="0" w:line="186" w:lineRule="exact"/>
        <w:rPr>
          <w:sz w:val="20"/>
          <w:szCs w:val="20"/>
          <w:color w:val="auto"/>
        </w:rPr>
      </w:pPr>
    </w:p>
    <w:tbl>
      <w:tblPr>
        <w:tblLayout w:type="fixed"/>
        <w:tblInd w:w="86"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6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For the Nine Months Ended September</w:t>
            </w:r>
          </w:p>
        </w:tc>
        <w:tc>
          <w:tcPr>
            <w:tcW w:w="280" w:type="dxa"/>
            <w:vAlign w:val="bottom"/>
          </w:tcPr>
          <w:p>
            <w:pPr>
              <w:spacing w:after="0"/>
              <w:rPr>
                <w:sz w:val="14"/>
                <w:szCs w:val="14"/>
                <w:color w:val="auto"/>
              </w:rPr>
            </w:pPr>
          </w:p>
        </w:tc>
        <w:tc>
          <w:tcPr>
            <w:tcW w:w="2720" w:type="dxa"/>
            <w:vAlign w:val="bottom"/>
            <w:gridSpan w:val="6"/>
            <w:vMerge w:val="restart"/>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(amounts in thousands, except provider data)</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7"/>
        </w:trPr>
        <w:tc>
          <w:tcPr>
            <w:tcW w:w="3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Implemented Providers (as of end of</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Attributed Lives (as of end of period)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Practice Collections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1,112,834</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930,413</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26" w:hanging="326"/>
        <w:spacing w:after="0" w:line="248" w:lineRule="auto"/>
        <w:tabs>
          <w:tab w:leader="none" w:pos="318"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 (as defined below).</w:t>
      </w:r>
    </w:p>
    <w:p>
      <w:pPr>
        <w:spacing w:after="0" w:line="141"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6" w:lineRule="exact"/>
        <w:rPr>
          <w:sz w:val="20"/>
          <w:szCs w:val="20"/>
          <w:color w:val="auto"/>
        </w:rPr>
      </w:pPr>
    </w:p>
    <w:tbl>
      <w:tblPr>
        <w:tblLayout w:type="fixed"/>
        <w:tblInd w:w="86"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720" w:type="dxa"/>
            <w:vAlign w:val="bottom"/>
            <w:gridSpan w:val="7"/>
          </w:tcPr>
          <w:p>
            <w:pPr>
              <w:ind w:left="100"/>
              <w:spacing w:after="0"/>
              <w:rPr>
                <w:sz w:val="20"/>
                <w:szCs w:val="20"/>
                <w:color w:val="auto"/>
              </w:rPr>
            </w:pPr>
            <w:r>
              <w:rPr>
                <w:rFonts w:ascii="Arial" w:cs="Arial" w:eastAsia="Arial" w:hAnsi="Arial"/>
                <w:sz w:val="14"/>
                <w:szCs w:val="14"/>
                <w:b w:val="1"/>
                <w:bCs w:val="1"/>
                <w:color w:val="auto"/>
              </w:rPr>
              <w:t>For the Nine Months Ended September</w:t>
            </w:r>
          </w:p>
        </w:tc>
        <w:tc>
          <w:tcPr>
            <w:tcW w:w="300" w:type="dxa"/>
            <w:vAlign w:val="bottom"/>
          </w:tcPr>
          <w:p>
            <w:pPr>
              <w:spacing w:after="0"/>
              <w:rPr>
                <w:sz w:val="14"/>
                <w:szCs w:val="14"/>
                <w:color w:val="auto"/>
              </w:rPr>
            </w:pPr>
          </w:p>
        </w:tc>
        <w:tc>
          <w:tcPr>
            <w:tcW w:w="2700" w:type="dxa"/>
            <w:vAlign w:val="bottom"/>
            <w:gridSpan w:val="6"/>
            <w:vMerge w:val="restart"/>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(amounts in thousands, except for percentages)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spacing w:after="0" w:line="224" w:lineRule="exact"/>
              <w:rPr>
                <w:sz w:val="20"/>
                <w:szCs w:val="20"/>
                <w:color w:val="auto"/>
              </w:rPr>
            </w:pPr>
            <w:r>
              <w:rPr>
                <w:rFonts w:ascii="Arial" w:cs="Arial" w:eastAsia="Arial" w:hAnsi="Arial"/>
                <w:sz w:val="18"/>
                <w:szCs w:val="18"/>
                <w:color w:val="auto"/>
              </w:rPr>
              <w:t>Care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129,686</w:t>
            </w:r>
          </w:p>
        </w:tc>
        <w:tc>
          <w:tcPr>
            <w:tcW w:w="0" w:type="dxa"/>
            <w:vAlign w:val="bottom"/>
          </w:tcPr>
          <w:p>
            <w:pPr>
              <w:spacing w:after="0"/>
              <w:rPr>
                <w:sz w:val="1"/>
                <w:szCs w:val="1"/>
                <w:color w:val="auto"/>
              </w:rPr>
            </w:pPr>
          </w:p>
        </w:tc>
      </w:tr>
      <w:tr>
        <w:trPr>
          <w:trHeight w:val="230"/>
        </w:trPr>
        <w:tc>
          <w:tcPr>
            <w:tcW w:w="3140" w:type="dxa"/>
            <w:vAlign w:val="bottom"/>
          </w:tcPr>
          <w:p>
            <w:pPr>
              <w:spacing w:after="0" w:line="230" w:lineRule="exact"/>
              <w:rPr>
                <w:sz w:val="20"/>
                <w:szCs w:val="20"/>
                <w:color w:val="auto"/>
              </w:rPr>
            </w:pPr>
            <w:r>
              <w:rPr>
                <w:rFonts w:ascii="Arial" w:cs="Arial" w:eastAsia="Arial" w:hAnsi="Arial"/>
                <w:sz w:val="18"/>
                <w:szCs w:val="18"/>
                <w:color w:val="auto"/>
              </w:rPr>
              <w:t>Platform Contribution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79,762</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59,184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82,582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68,472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56,459</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Platform Contribution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3140" w:type="dxa"/>
            <w:vAlign w:val="bottom"/>
          </w:tcPr>
          <w:p>
            <w:pPr>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33,851</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23,202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18,126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6" w:right="20" w:hanging="326"/>
        <w:spacing w:after="0" w:line="241" w:lineRule="auto"/>
        <w:tabs>
          <w:tab w:leader="none" w:pos="318"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GAAP, we have disclosed care margin, platform contribution, platform contribution margin, adjusted EBITDA and adjusted EBITDA margin, which are non-GAAP financial measures. We define:</w:t>
      </w:r>
    </w:p>
    <w:p>
      <w:pPr>
        <w:ind w:left="646" w:hanging="322"/>
        <w:spacing w:after="0"/>
        <w:tabs>
          <w:tab w:leader="none" w:pos="646" w:val="left"/>
        </w:tabs>
        <w:numPr>
          <w:ilvl w:val="1"/>
          <w:numId w:val="26"/>
        </w:numPr>
        <w:rPr>
          <w:rFonts w:ascii="Arial" w:cs="Arial" w:eastAsia="Arial" w:hAnsi="Arial"/>
          <w:sz w:val="14"/>
          <w:szCs w:val="14"/>
          <w:color w:val="auto"/>
        </w:rPr>
      </w:pPr>
      <w:r>
        <w:rPr>
          <w:rFonts w:ascii="Arial" w:cs="Arial" w:eastAsia="Arial" w:hAnsi="Arial"/>
          <w:sz w:val="14"/>
          <w:szCs w:val="14"/>
          <w:color w:val="auto"/>
        </w:rPr>
        <w:t>Care margin as total revenue less the sum of physician and practice expense.</w:t>
      </w:r>
    </w:p>
    <w:p>
      <w:pPr>
        <w:spacing w:after="0" w:line="1" w:lineRule="exact"/>
        <w:rPr>
          <w:rFonts w:ascii="Arial" w:cs="Arial" w:eastAsia="Arial" w:hAnsi="Arial"/>
          <w:sz w:val="14"/>
          <w:szCs w:val="14"/>
          <w:color w:val="auto"/>
        </w:rPr>
      </w:pPr>
    </w:p>
    <w:p>
      <w:pPr>
        <w:ind w:left="646" w:right="20" w:hanging="322"/>
        <w:spacing w:after="0" w:line="241" w:lineRule="auto"/>
        <w:tabs>
          <w:tab w:leader="none" w:pos="642" w:val="left"/>
        </w:tabs>
        <w:numPr>
          <w:ilvl w:val="1"/>
          <w:numId w:val="26"/>
        </w:numPr>
        <w:rPr>
          <w:rFonts w:ascii="Arial" w:cs="Arial" w:eastAsia="Arial" w:hAnsi="Arial"/>
          <w:sz w:val="14"/>
          <w:szCs w:val="14"/>
          <w:color w:val="auto"/>
        </w:rPr>
      </w:pPr>
      <w:r>
        <w:rPr>
          <w:rFonts w:ascii="Arial" w:cs="Arial" w:eastAsia="Arial" w:hAnsi="Arial"/>
          <w:sz w:val="14"/>
          <w:szCs w:val="14"/>
          <w:color w:val="auto"/>
        </w:rPr>
        <w:t>Platform contribution as total revenue less the sum of (i) physician and practice expense, (ii) cost of platform and (iii) stock-based compensation expense included in cost of platform.</w:t>
      </w:r>
    </w:p>
    <w:p>
      <w:pPr>
        <w:ind w:left="646" w:hanging="322"/>
        <w:spacing w:after="0"/>
        <w:tabs>
          <w:tab w:leader="none" w:pos="646" w:val="left"/>
        </w:tabs>
        <w:numPr>
          <w:ilvl w:val="1"/>
          <w:numId w:val="26"/>
        </w:numPr>
        <w:rPr>
          <w:rFonts w:ascii="Arial" w:cs="Arial" w:eastAsia="Arial" w:hAnsi="Arial"/>
          <w:sz w:val="14"/>
          <w:szCs w:val="14"/>
          <w:color w:val="auto"/>
        </w:rPr>
      </w:pPr>
      <w:r>
        <w:rPr>
          <w:rFonts w:ascii="Arial" w:cs="Arial" w:eastAsia="Arial" w:hAnsi="Arial"/>
          <w:sz w:val="14"/>
          <w:szCs w:val="14"/>
          <w:color w:val="auto"/>
        </w:rPr>
        <w:t>Platform contribution margin as platform contribution divided by care margin.</w:t>
      </w:r>
    </w:p>
    <w:p>
      <w:pPr>
        <w:spacing w:after="0" w:line="1" w:lineRule="exact"/>
        <w:rPr>
          <w:rFonts w:ascii="Arial" w:cs="Arial" w:eastAsia="Arial" w:hAnsi="Arial"/>
          <w:sz w:val="14"/>
          <w:szCs w:val="14"/>
          <w:color w:val="auto"/>
        </w:rPr>
      </w:pPr>
    </w:p>
    <w:p>
      <w:pPr>
        <w:jc w:val="both"/>
        <w:ind w:left="646" w:right="20" w:hanging="322"/>
        <w:spacing w:after="0" w:line="241" w:lineRule="auto"/>
        <w:tabs>
          <w:tab w:leader="none" w:pos="642" w:val="left"/>
        </w:tabs>
        <w:numPr>
          <w:ilvl w:val="1"/>
          <w:numId w:val="26"/>
        </w:numPr>
        <w:rPr>
          <w:rFonts w:ascii="Arial" w:cs="Arial" w:eastAsia="Arial" w:hAnsi="Arial"/>
          <w:sz w:val="14"/>
          <w:szCs w:val="14"/>
          <w:color w:val="auto"/>
        </w:rPr>
      </w:pPr>
      <w:r>
        <w:rPr>
          <w:rFonts w:ascii="Arial" w:cs="Arial" w:eastAsia="Arial" w:hAnsi="Arial"/>
          <w:sz w:val="14"/>
          <w:szCs w:val="14"/>
          <w:color w:val="auto"/>
        </w:rPr>
        <w:t>Adjusted EBITDA as net (loss) income attributable to Privia Health Group, Inc. shareholders and subsidiaries excluding minority interests, (benefit from) provision for income taxes, interest income, interest expense, depreciation and amortization, stock-based compensation, severance charges and other non-recurring expenses.</w:t>
      </w:r>
    </w:p>
    <w:p>
      <w:pPr>
        <w:spacing w:after="0" w:line="1" w:lineRule="exact"/>
        <w:rPr>
          <w:rFonts w:ascii="Arial" w:cs="Arial" w:eastAsia="Arial" w:hAnsi="Arial"/>
          <w:sz w:val="14"/>
          <w:szCs w:val="14"/>
          <w:color w:val="auto"/>
        </w:rPr>
      </w:pPr>
    </w:p>
    <w:p>
      <w:pPr>
        <w:ind w:left="646" w:hanging="322"/>
        <w:spacing w:after="0"/>
        <w:tabs>
          <w:tab w:leader="none" w:pos="646" w:val="left"/>
        </w:tabs>
        <w:numPr>
          <w:ilvl w:val="1"/>
          <w:numId w:val="26"/>
        </w:numPr>
        <w:rPr>
          <w:rFonts w:ascii="Arial" w:cs="Arial" w:eastAsia="Arial" w:hAnsi="Arial"/>
          <w:sz w:val="14"/>
          <w:szCs w:val="14"/>
          <w:color w:val="auto"/>
        </w:rPr>
      </w:pPr>
      <w:r>
        <w:rPr>
          <w:rFonts w:ascii="Arial" w:cs="Arial" w:eastAsia="Arial" w:hAnsi="Arial"/>
          <w:sz w:val="14"/>
          <w:szCs w:val="14"/>
          <w:color w:val="auto"/>
        </w:rPr>
        <w:t>Adjusted EBITDA margin as Adjusted EBITDA divided by care margin.</w:t>
      </w:r>
    </w:p>
    <w:p>
      <w:pPr>
        <w:spacing w:after="0" w:line="155" w:lineRule="exact"/>
        <w:rPr>
          <w:sz w:val="20"/>
          <w:szCs w:val="20"/>
          <w:color w:val="auto"/>
        </w:rPr>
      </w:pPr>
    </w:p>
    <w:p>
      <w:pPr>
        <w:jc w:val="both"/>
        <w:ind w:left="6" w:firstLine="324"/>
        <w:spacing w:after="0" w:line="259" w:lineRule="auto"/>
        <w:rPr>
          <w:sz w:val="20"/>
          <w:szCs w:val="20"/>
          <w:color w:val="auto"/>
        </w:rPr>
      </w:pPr>
      <w:r>
        <w:rPr>
          <w:rFonts w:ascii="Arial" w:cs="Arial" w:eastAsia="Arial" w:hAnsi="Arial"/>
          <w:sz w:val="18"/>
          <w:szCs w:val="18"/>
          <w:color w:val="auto"/>
        </w:rPr>
        <w:t>Care margin, platform contribution, platform contribution margin, adjusted EBITDA and adjusted EBITDA margin are not recognized terms under GAAP and should not be considered as alternatives to measures of financial performance or liquidity derived in accordance with GAAP. See “Selected Consolidated Financial and Other Data-Non-GAAP Financial Measures” for a reconciliation from operating income, the most directly comparable GAAP</w:t>
      </w:r>
    </w:p>
    <w:p>
      <w:pPr>
        <w:sectPr>
          <w:pgSz w:w="11900" w:h="16838" w:orient="portrait"/>
          <w:cols w:equalWidth="0" w:num="1">
            <w:col w:w="9906"/>
          </w:cols>
          <w:pgMar w:left="994" w:top="1440" w:right="999" w:bottom="9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187960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6"/>
          </w:cols>
          <w:pgMar w:left="994" w:top="1440" w:right="999" w:bottom="925"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5043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150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measure, to care margin, for a reconciliation from operating income, the most directly comparable GAAP financial measure, to platform contribution, and a reconciliation from net (loss) income attributable to Privia Health Group, Inc. and Subsidiaries, the most directly comparable GAAP financial measure, to adjusted EBITDA, as well as a discussion about the limitations of care margin, platform contribution, platform contribution margin, adjusted EBITDA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27" w:name="page28"/>
    <w:bookmarkEnd w:id="27"/>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prospectus could be materially and adversely affected. In that event, the price of our common stock could decline, and you could lose all or part of your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could harm our business.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 healthcare industry is heavily regulated and closely scrutinized by federal, state and local authorities. Comprehensive statutes and regulations govern the manner in which our Medical Groups provide and bill for services and collect reimbursement from governmental health care programs and commercial payers, our contractual relationships with our Privia Providers, vendors, health network partners and customers, how we contract with commercial payers, our marketing activities and other aspects of our operations. Of particular importance are:</w:t>
      </w:r>
    </w:p>
    <w:p>
      <w:pPr>
        <w:spacing w:after="0" w:line="117" w:lineRule="exact"/>
        <w:rPr>
          <w:sz w:val="20"/>
          <w:szCs w:val="20"/>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practicing medicine, controlling Privia Physicians’ medical decisions or engaging in practices such as splitting professional fees with Privia Physicians;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laws pertaining to non-physician clinicians, such as nurse practitioners and physician assistants, including requirements for physician supervision of such practitioners and reimbursement-related requirements;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physician self-referral law, commonly referred to as the Stark Law, which, subject to certain exceptions, prohibits physicians from referring Medicare or Medicaid patients to an entity for the provision of certain “designated health services” such as laboratory and other ancillary health care services if the physician or a member of the physician’s immediate family has a direct or indirect financial relationship (including an ownership interest or a compensation arrangement) with the entity;</w:t>
      </w:r>
    </w:p>
    <w:p>
      <w:pPr>
        <w:spacing w:after="0" w:line="132"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which, subject to certain exceptions known as “safe harbors,” prohibits the knowing and willful offer, payment, solicitation or receipt of any bribe, kickback, rebate or other remuneration, directly or indirectly, overtly or covertly in cash or in kind, to induce, or in return for, either the referral of an individual, or the lease, purchase, order or recommendation of, items or services covered, in whole or in part, by government healthcare programs such as Medicare and Medicaid.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w:t>
      </w:r>
    </w:p>
    <w:p>
      <w:pPr>
        <w:spacing w:after="0" w:line="123"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civil and criminal false claims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an obligation to pay money to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government. The FCA also permits a private individual acting as a “whistleblower” to bring actions on behalf of the federal government alleging violations of the FCA and to share in any monetary recovery;</w:t>
      </w:r>
    </w:p>
    <w:p>
      <w:pPr>
        <w:spacing w:after="0" w:line="116" w:lineRule="exact"/>
        <w:rPr>
          <w:sz w:val="20"/>
          <w:szCs w:val="20"/>
          <w:color w:val="auto"/>
        </w:rPr>
      </w:pPr>
    </w:p>
    <w:p>
      <w:pPr>
        <w:jc w:val="both"/>
        <w:ind w:left="328" w:hanging="328"/>
        <w:spacing w:after="0" w:line="271" w:lineRule="auto"/>
        <w:tabs>
          <w:tab w:leader="none" w:pos="32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criminal healthcare fraud provisions of the federal Health Insurance Portability and Accountability Act of 1996, as amended by the Health Information Technology for Economic and Clinical Health Act, or HITECH, and their implementing regulations, or collectively, HIPAA, and related rules that prohibit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 false, fictitious or fraudulent statement in connection with the delivery of or payment for health care benefits, items or services. Similar to the federal Anti-Kickback Statute, a person or entity can be found guilty of violating HIPAA without actual knowledge of the statute or specific intent to violate it;</w:t>
      </w:r>
    </w:p>
    <w:p>
      <w:pPr>
        <w:spacing w:after="0" w:line="124" w:lineRule="exact"/>
        <w:rPr>
          <w:rFonts w:ascii="Arial" w:cs="Arial" w:eastAsia="Arial" w:hAnsi="Arial"/>
          <w:sz w:val="17"/>
          <w:szCs w:val="17"/>
          <w:color w:val="auto"/>
        </w:rPr>
      </w:pPr>
    </w:p>
    <w:p>
      <w:pPr>
        <w:jc w:val="both"/>
        <w:ind w:left="328" w:hanging="328"/>
        <w:spacing w:after="0" w:line="286" w:lineRule="auto"/>
        <w:tabs>
          <w:tab w:leader="none" w:pos="323" w:val="left"/>
        </w:tabs>
        <w:numPr>
          <w:ilvl w:val="0"/>
          <w:numId w:val="28"/>
        </w:numPr>
        <w:rPr>
          <w:rFonts w:ascii="Arial" w:cs="Arial" w:eastAsia="Arial" w:hAnsi="Arial"/>
          <w:sz w:val="17"/>
          <w:szCs w:val="17"/>
          <w:color w:val="auto"/>
        </w:rPr>
      </w:pPr>
      <w:r>
        <w:rPr>
          <w:rFonts w:ascii="Arial" w:cs="Arial" w:eastAsia="Arial" w:hAnsi="Arial"/>
          <w:sz w:val="17"/>
          <w:szCs w:val="17"/>
          <w:color w:val="auto"/>
        </w:rPr>
        <w:t>civil monetary penalties laws, which impose civil fines for, among other things, the offering or transferring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laws that prohibit our Medical Groups from billing and receiving payment from Medicare and Medicaid for services unless the services furnished by our Privia Providers are medically necessary, adequately and accurately documented, timely submitted and billed using codes that accurately reflect the type and level of services rendered;</w:t>
      </w:r>
    </w:p>
    <w:p>
      <w:pPr>
        <w:spacing w:after="0" w:line="129" w:lineRule="exact"/>
        <w:rPr>
          <w:rFonts w:ascii="Arial" w:cs="Arial" w:eastAsia="Arial" w:hAnsi="Arial"/>
          <w:sz w:val="18"/>
          <w:szCs w:val="18"/>
          <w:color w:val="auto"/>
        </w:rPr>
      </w:pPr>
    </w:p>
    <w:p>
      <w:pPr>
        <w:ind w:left="328" w:right="20" w:hanging="328"/>
        <w:spacing w:after="0" w:line="308" w:lineRule="auto"/>
        <w:tabs>
          <w:tab w:leader="none" w:pos="323" w:val="left"/>
        </w:tabs>
        <w:numPr>
          <w:ilvl w:val="0"/>
          <w:numId w:val="28"/>
        </w:numPr>
        <w:rPr>
          <w:rFonts w:ascii="Arial" w:cs="Arial" w:eastAsia="Arial" w:hAnsi="Arial"/>
          <w:sz w:val="17"/>
          <w:szCs w:val="17"/>
          <w:color w:val="auto"/>
        </w:rPr>
      </w:pPr>
      <w:r>
        <w:rPr>
          <w:rFonts w:ascii="Arial" w:cs="Arial" w:eastAsia="Arial" w:hAnsi="Arial"/>
          <w:sz w:val="17"/>
          <w:szCs w:val="17"/>
          <w:color w:val="auto"/>
        </w:rPr>
        <w:t>Medicare and Medicaid regulations, manual provisions, local coverage determinations, national coverage determinations and agency guidance that impose complex and extensive requirements upon healthcare providers, including our Medical Groups and Privia Providers;</w:t>
      </w:r>
    </w:p>
    <w:p>
      <w:pPr>
        <w:spacing w:after="0" w:line="92" w:lineRule="exact"/>
        <w:rPr>
          <w:rFonts w:ascii="Arial" w:cs="Arial" w:eastAsia="Arial" w:hAnsi="Arial"/>
          <w:sz w:val="17"/>
          <w:szCs w:val="17"/>
          <w:color w:val="auto"/>
        </w:rPr>
      </w:pPr>
    </w:p>
    <w:p>
      <w:pPr>
        <w:ind w:left="328" w:hanging="328"/>
        <w:spacing w:after="0" w:line="308" w:lineRule="auto"/>
        <w:tabs>
          <w:tab w:leader="none" w:pos="323"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state laws that prohibit physicians from splitting professional fees with non-physicians, whether individuals or entities, or place restrictions on how such professional fees may be split with non-physicians, including, for instance, prohibitions on percentage-based management fees;</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that regulate healthcare-related debt collection practices, pricing transparency and protecting patients from surprise billings;</w:t>
      </w:r>
    </w:p>
    <w:p>
      <w:pPr>
        <w:spacing w:after="0" w:line="171"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antitrust laws that prohibit or limit exclusive contracting relationships with healthcare providers, prohibit or limit the sharing of cost and pricing data, prohibit competitors from taking collective action to set commercial payer reimbursement rates, and determine when a joint venture or health care network is sufficiently integrated, by either sharing substantial financial risk or substantial clinical integration, to jointly contract with commercial payers;</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laws and policies related to healthcare providers’ licensure, certification, accreditation, Medicare and Medicaid program enrollment and reassignment of benefits;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federal and state laws and policies related to the prescribing, administrating and dispensing of pharmaceuticals and controlled substances;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state laws related to the advertising and marketing of services by healthcare providers, including Medical Group and Privia Physicians;</w:t>
      </w:r>
    </w:p>
    <w:p>
      <w:pPr>
        <w:spacing w:after="0" w:line="18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laws related to confidentiality, privacy and security of personal information, including medical information and records, that limit the manner in which we may use and disclose that information, impose obligations to safeguard such information and require that we notify third parties in the event of a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9" w:name="page30"/>
    <w:bookmarkEnd w:id="29"/>
    <w:p>
      <w:pPr>
        <w:spacing w:after="0" w:line="144" w:lineRule="exact"/>
        <w:rPr>
          <w:sz w:val="20"/>
          <w:szCs w:val="20"/>
          <w:color w:val="auto"/>
        </w:rPr>
      </w:pPr>
    </w:p>
    <w:p>
      <w:pPr>
        <w:ind w:left="66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laws that impose civil administrative sanctions for, among other violations, inappropriate billing of services to government health care programs or employing or contracting with individuals who are excluded from participation in government health care programs;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limiting the use of funds in health savings accounts for individuals with high deductible health plans;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laws regarding such telemedicine services, including necessary technological standards to deliver such services, coverage restrictions associated with such services, and the amount of reimbursement for such services;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state laws pertaining to anti-kickback, fee splitting, self-referral and false claims, some of which are not consistent with comparable federal laws and regulations, including, for example, not being limited in scope to relationships involving government health care programs;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 insurance laws governing what healthcare entities may bear financial risk and the allowable types of financial risks, including direct primary care programs, provider-sponsored organizations, ACOs, independent practice associations, and provider capitation.</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Achieving and sustaining compliance with these laws may prove costly. The risk of our being found in violation of these laws and regulations is increased by the fact that many of them have not been fully interpreted by regulatory authorities or the courts, and their provisions are sometimes complex and open to a variety of interpretations. It is possible that governmental and enforcement authorities will conclude that our business practices may not comply with current or future statutes, regulations or case law interpreting applicable fraud and abuse or other healthcare laws and regulations. Depending on the circumstances, failure to meet applicable regulatory requirements can result in civil, administrative, and criminal penalties such as criminal prosecution, fines, damages, disgorgement, individual imprisonment, recoupments of overpayments, imprisonment, loss of enrollment status, exclusion from participation in federal and state funded health care programs, contractual damages, reputational harm and the curtailment or restricting of our operations, as well as additional reporting obligations and oversight if we become subject to a corporate integrity agreement or other agreement to resolve allegations of non-compliance with these laws. In addition, in order to achieve compliance with current and future regulatory requirements, we may need to discontinue an aspect of our current business or expend significant costs altering our business structure, operations, or relationship with certain third-parties, including Privia Providers and health system partners, payers, and vendors. Our failure to accurately anticipate the application of these laws and regulations to our business or any other failure to comply with current or future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enforce compliance with the federal laws, the U.S. Department of Justice and the U.S. Department of Health and Human Services Office of Inspector General, or OIG, regularly scrutinizes healthcare providers, which has led to a number of investigations, prosecutions, convictions and settlements in the healthcare industry. Responding to and managing government investigations can be time and resource-consuming, divert management’s attention from the business and generate adverse publicity. Any such investigation or settlement could increase our costs or otherwise have a negative impact on our business, even if we are ultimately found to be in compliance with the relevant laws. Moreover, if one of our physician or health system partners, or another third party fails to comply with applicable laws and becomes the target of a government investigation, government authorities could require our cooperation in the investigation, which could cause us to incur additional legal expenses, divert management’s attention from the business and result in adverse publicity.</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because of the potential for large monetary exposure under the federal False Claims Act, which provides for treble damages and penalties of $11,803 to $23,607 per false claim or statement (as of January 1, 2021, and subject to annual adjustments for inflation), healthcare providers often settle allegations without admissions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liability for significant amounts to avoid the potential of penalties and treble damages that may be awarded in litigation proceedings. Such settlements often contain additional compliance and reporting requirements as part of a consent decree, settlement agreement or corporate integrity agreement, which may result in significant costs for several years after resolution of the original allegations and may slow our overall growth. Given the significant size of actual and potential settlements, it is expected that the government will continue to devote substantial resources to investigating healthcare providers’ compliance with the myriad of healthcare reimbursement rules and fraud and abuse laws.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with the various government shutdowns, stay at home orders, and restrictions on elective health care services brought about by the COVID-19 pandemic, our Owned and Non-Owned Medical Groups have increasingly relied upon the availability of, and reimbursement for, telemedicine and other emerging technologies (such as digital health services) to generate revenue. Federal and state laws regarding such services, necessary technological standards to deliver such services, coverage restrictions associated with such services, and the amount of reimbursement for such services are subject to changing political, regulatory and other influences. During the first wave of the COVID-19 pandemic in the United States, many states loosened the restrictions in such laws and allowed providers to bill for such services at rates comparable to providing such services in a traditional office setting. These changes may be of short duration, may impede us in providing such services to our patients in an economically viable manner in the future, and may harm our business. For example, of the jurisdictions in which we currently operate, Virginia, Texas, Florida and the District of Columbia are not members of the Interstate Medical Licensure Compact, which streamlines the process by which physicians licensed in one state are able to practice in other participating states. Failure to comply with these laws could result in denials of reimbursement for our Privia Providers’ services (to the extent such services are billed), recoupments of prior payments, professional discipline for our Privia Providers or civil or criminal penalties against our Medical Groups.</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laws, regulations and standards governing the provision of healthcare services may change significantly in the future. New or changed healthcare laws, regulations or standards may harm our business. A review of our business by judicial, law enforcement, regulatory or accreditation authorities could result in challenges or actions against us that could harm our business and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our relationships with Medical Groups, some of which we do not own, to furnish Privia Providers, to provide professional services to patients on behalf of federal health care programs as defined in 42 U.S.C. 1320a-7(f) (“federal health care programs”) and commercial payers, and our business would be adversely affected if those relationships were disrupted.</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relationships with Medical Groups in each of our markets which our Privia Providers join to furnish healthcare services as an integrated, single-TIN legal entity. When permitted under state law, these are structured as Owned Medical Groups and we own a majority interest in all of our Owned Medical Groups but, even in such markets, we and our MSOs are still prohibited from controlling any aspect of the practice of medicine, including, without limitation, decisions regarding professional medical judgment, diagnosis and treatment of patients and supervisory responsibility for all licensed non-physician clinicians, unlicensed individuals to whom the physician delegates nondiscretionary duties and any other individual providing any service that could constitute the practice of medicine. In other states, such as Texas and Tennessee, we are prohibited from having any ownership interest or governance control in our Medical Groups and these are structured as Non-Owned Medical Groups. In such instances, (i) we have appointed a Privia Physician licensed in the market to the governing board of such Non-Owned Medical Groups but we have little in the way of governance control of the Non-Owned Medical Groups other than through our management service agreements; or (ii) alternatively, in the future, equity interests in Non-Owned Medical Groups may be held by a “friendly” physician that has agreed to certain restrictions on the exercise of his or her voting rights and restrictions on his or her ability to transfer such equity interests to any person or entity except as we direct. Although we expect that these relationships will continue, we cannot guarantee that they will. A material change in any of these relationships, a change in government regulation, a change in interpretation of government regulation or the loss of any of our Medical Groups could have a material adverse effect on our business, financial condition and results of operation. For further discussion of the relationship between us and our Owned Medical Groups and Non-Owned Medical Groups, see “Business—State Healthcare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revenues and profits could be diminished if we fail to retain our Privia Physicians or fail to recruit new Privia Physicians to affiliate with our Medical Groups.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operating model relies significantly on aggregating a sufficient number of Privia Physicians in each of our Medical Groups. The number of Privia Physicians in a particular market impacts our ability to negotiate competitive reimbursement rates with commercial payers, impacts our attributed lives for VBC purposes, impacts our unit cost in furnishing our services across geographic markets, and, our revenue from the provision of management services through the management services agreement (each a “MSA”) we enter into with the Non-Owned Medical Groups. Although the average age of our Privia Physicians is only 51 and our average retention rate for Privia Providers was 95% over the past four years, we still experience provider attrition within our Medical Groups resulting from retirement, disability, death and Privia Physicians pursing other opportunities including hospital or health system employment, concierge medicine practices, and the sale of their Affiliated Practices. Although we employ a Privia Provider recruitment team to help recruit new Privia Providers into our existing Medical Groups to offset such organic attrition, the departure of large number of Privia Providers, or the departure of key Privia Physicians’ Affiliated Practices with large patient populations, could negatively impact our revenue in the short term, and may adversely affect our ability to perform under our VBC arrangements, including our financial performance and our ability to timely and accurately meet reporting requirements. Further, the loss of any Privia Physician may result in such Privia Physician’s patient population transferring to a non-Privia Provider, which could reduce our overall revenues and profits. Moreover, we may not be able to attract new Privia Physicians to replace the services of departing Privia Physicians or to service our obligations under a government health care program, such as the MSSP or Medicare Advantage plans, or a VBC arrangement with a commercial payer.</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standard agreements between our Medical Groups and our Privia Physicians do not generally prohibit Privia Physicians from competing with us after the term of the agreements. Further, in our deals with certain Medical Groups where we have post-termination non-compete obligations and other restrictive covenants that prohibit our Privia Providers from working with a competitor of ours, there can be no assurance that such non-compete agreements when asserted against a departing Privia Provider will be found enforceable if challenged in certain states. In such event, we would be unable to prevent such departing Privia Provider and other providers formerly affiliated with us from competing with us and/or our Medical Groups, potentially resulting in the loss of some of our patients, which would negatively affect our overall revenues and profits.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 as we move into new markets, our success in each market is dependent on our ability to recruit a sufficient number of Privia Providers to allow us to fully implement our operating model. Our failure to do so may ultimately result in our inability to compete effectively in such market. Further, as we incur significant upfront time and costs in operating in a new market, including management time and attention, our failure to compete effectively in a new market could negatively affect our profits as well as our reputation within the larger physician community.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model includes Owned Medical Groups, Non-Owned Medical Groups, MSOs that furnish management services on behalf of our Medical Groups and ACOs, a technology-enabled platform that overlays our Privia Providers’ EMR, and, in most markets, a separate legal entity that serves as an ACO under the MSSP as established by the Patient Protection and Affordable Care Act and a provider network vehicle for VBC on behalf of our Medical Groups as well as, in certain markets, independent, non-Privia Providers.</w:t>
      </w:r>
    </w:p>
    <w:p>
      <w:pPr>
        <w:spacing w:after="0" w:line="133"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Our ability to conduct business in each state is dependent upon that specific state’s treatment of each component of the Privia operating model under such state’s laws, regulations and policies governing the practice of medicine, physician fee splitting prohibitions, state restrictions on the use and disclosure of patient health information and other confidential information among the various components of our operating model, restrictions on the types of provider entities that can take financial risk or the types of financial risks that can be assumed by providers before triggering the state’s insurance laws requiring licensure from the state’s insurance department or agency.</w:t>
      </w:r>
    </w:p>
    <w:p>
      <w:pPr>
        <w:spacing w:after="0" w:line="13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laws of many states, including states in which we currently operate, prohibit us from exercising control over the medical judgments or decisions of our Privia Physicians and from engaging in certain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arrangements, such as splitting professional fees with Privia Providers or incentivizing certain types of utilization. These laws and their interpretations vary from state to state, and are enforced by state courts and regulatory authorities, each with broad discretion. We enter into agreements with our Medical Groups in our various markets and through which our Privia Providers furnish healthcare services on behalf of our Medical Groups. In addition, we enter into contracts on behalf of our Medical Groups and ACOs with federal health care programs and commercial payers to deliver healthcare services in exchange for fees. Such fees may be structured as FFS, VBC or both. We also enter into exclusive MSAs with our Medical Groups pursuant to which the Medical Groups reserve exclusive control and responsibility for all aspects of the practice of medicine and the delivery of medical services. Our Medical Groups also enter into services arrangements with our Privia Physicians’ Affiliated Practices to provide certain services to support our Privia Physicians at their historic practice locations.</w:t>
      </w:r>
    </w:p>
    <w:p>
      <w:pPr>
        <w:spacing w:after="0" w:line="138"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Although we seek to substantially comply in all material respects with applicable state laws, including prohibitions on the corporate practice of medicine and fee splitting, state officials who administer these laws or other third parties may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Medical Groups to comply with these statutes, could jeopardize our performance in federal health care programs and commercial payer arrangements, could result in a decrease in management fees under our MSAs, could slow our growth by making it harder to recruit Privia Physicians to join our Medical Groups, and could result in a renegotiation of our existing agreements with Privia Physicians, all of which would have a materially adverse effect on our business, financial condition and the results of operations.</w:t>
      </w:r>
    </w:p>
    <w:p>
      <w:pPr>
        <w:spacing w:after="0" w:line="124"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Our operating model seeks to structure each Medical Group as a “group practice” for purposes of the Stark Law. The Stark Law’s “group practice” definition is subject to a nine-factor analysis under the current regulatory scheme with many of the factors having multiple options for compliance. Although we have worked closely with nationally recognized healthcare counsel to structure our arrangements to comply with the Stark Law’s “group practice” definition, many of the individual factors have not been subject to meaningful judicial interpretation or regulatory agency guidance, and such regulatory agency guidance is subject to change periodically with the most recent changes published in the Federal Register on December 2, 2020. Furthermore, the test is not static, and our Medical Groups and their relationships with Privia Physicians must be periodically reviewed to ensure that they continue to meet the definition and that the safeguards built into the various agreements are being implemented and administered as required. A determination that any of our Medical Groups is not a “group practice” or a change in the Stark Law, regulations or regulatory agency guidance that would result in any of our Medical Groups no longer being a “group practice” for Stark Law purposes would necessitate restructuring our existing Medical Group agreements as well as their underlying agreements with Privia Physicians, and could result in an overpayment, an inability to practice as “group practice” in a given market, or a restructuring of our financial relationships with Privia Physicians in a manner that is not as financially advantageous to us or makes it more onerous to recruit physicians to join our Medical Groups. All such results would likely have a materially adverse effect on our business, financial condition and the results of operations.</w:t>
      </w:r>
    </w:p>
    <w:p>
      <w:pPr>
        <w:spacing w:after="0" w:line="13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Our operating model also seeks to structure each Medical Group with sufficient integration to allow such Medical Group to negotiate on behalf of its Privia Providers with both federal health care programs and commercial payers. That is, from federal and state antitrust law perspectives, each Medical Group is structured to be a single entity, with a single-TIN, fully capable of fixing the prices for which it sells its products and services.</w:t>
      </w:r>
    </w:p>
    <w:p>
      <w:pPr>
        <w:spacing w:after="0" w:line="11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Similarly, our operational ACOs, which all participate in the MSSP, have been structured so that all participants in the ACO, including our Medical Groups, are substantially clinically integrated in accordance with guidance from the Federal Trade Commission on the necessary components of a program of substantial clinical integration to allow our ACOs to negotiate payer contracts, including pricing terms, on behalf of our participating providers, including our Medical Groups, in connection with the sale of such integrated services to such payers. We have not, however, requested a formal advisory opinion from the Federal Trade Commission or a business review from the Department of Justice Antitrust Division for either our Medical Groups or our ACO model.</w:t>
      </w:r>
    </w:p>
    <w:p>
      <w:pPr>
        <w:spacing w:after="0" w:line="13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With respect to our ACOs, such entities typically participate in both the MSSP and commercial VBC arrangements. Given our MSSP participation, under the FTC and DOJ’s Statement of Antitrust Enforcement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Regarding Accountable Care Organizations Participating in the Medicare Shared Savings Program (the “Policy Statement”), our ACOs would be subject to a rule of reason analysis. Although we have not conducted a full calculation of our ACOs’ share of primary specialty services in each ACO participant’s Primary Service Area (“PSA”), our preliminary analysis is that each of our ACOs would fall outside of the Policy Statement’s safety zone (i.e., no more than 30% share of services in each PSA) and therefore, the FTC or DOJ could challenge our ACO as anticompetitive. We have, however, adopted policies and practices to ensure our compliance with the antitrust laws including limiting the anti-competitive effect of our higher share of physician services within our geographic markets.</w:t>
      </w:r>
    </w:p>
    <w:p>
      <w:pPr>
        <w:spacing w:after="0" w:line="13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Biden Administration appears committed to increasing antitrust enforcement and the scope of current antitrust laws as evidenced by Executive Order 14036 “Promoting Competition in the American Economy,” which, among other things, expresses concern about excessive market concentration in health care markets, including the insurance, hospital and prescription drug markets. Agency action to implement the Executive Order could limit, or increase the cost associated with, our growth plans, including limiting our ability to acquire competitors and grow at rates similar to our historic growth rates.</w:t>
      </w:r>
    </w:p>
    <w:p>
      <w:pPr>
        <w:spacing w:after="0" w:line="13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A successful challenge of either of these components of our operating model could result in our restructuring our relationships with our Medical Groups and ACOs, and where such relationships cannot be successfully restructured could result in our inability to furnish services in certain markets. Further, depending on the enforcement agency an antitrust violation can result in enforcement actions against us, our Medical Groups and/or ACOs ranging from a cease and desist demand, to criminal enforcement with the potential for treble damages. Any such outcome could damage our reputation, jeopardize our existing business arrangements, and would likely have a materially adverse effect on our business, financial condition and the results of operations. Even a successful defense of an antitrust claim can be very expensive, may distract key management, and can damage our reputation and impair our ability to recruit new physicians.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our EMR vendor, athenahealth, Inc., which the Privia Technology Solution is integrated and built upon, and which we require all of our Owned Medical Groups to utilize and which is utilized by all but one of the Non-Owned Medical Groups, and our business would be adversely affected if that relationship were disrupted.</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own all aspects of our athenaNet services, the Privia Technology Solution is not currently usable with other EMRs, and to move our Privia Providers to another EMR provider we would have to duplicate our services on that platform, which would require considerable effort, time and expense. While we have a positive working relationship with athenahealth, Inc., and while being one of their larger enterprise clients gives us priority access in resolving issues with the EMR and preferred pricing relative to going market rates, there is no assurance we will be able to maintain the relationship on positive terms. In addition, our dependency on athenahealth, Inc. creates significant risks related to service disruptions, potential cyberattacks experienced by athenaNet, cessation of operations of athenahealth, Inc., or price leveraging by athenahealth, Inc. A material change in our relationship with athenahealth, Inc., whether resulting from a dispute, a change in government regulation, or the loss of this relationship, could impair our ability to provide the same level of services to our Privia Providers for some period of time and could have a material adverse effect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we anticipate increasing expenses in the future, and we may not be able to maintain profitability.</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reported net (loss) income of $(176.3) million and $27.4 million for the nine months ended September 30, 2021 and 2020, respectively, and $31.2 million and $8.2 million for the years ended December 31, 2020 and 2019, respectively. We incurred a net loss of $3.0 million for the year ended December 31, 2018. Our accumulated deficit is $196.1 million and $19.9 million as of September 30, 2021 and December 31, 2020, respectively. We expect our aggregate costs will increase substantially in the foreseeable future and we may experience losses as we expect to invest heavily in increasing and expanding our operations, hiring additional employees and operating as a public company. These efforts may prove more expensive than we currently anticipate, and we may not succeed in increasing our revenue sufficiently to offset these higher expenses. To date, we have financed our operations principally from revenue earned from our Medical Group’s billing and collection for healthcare services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Privia Providers, revenues earned from VBCs with our ACOs, the incurrence of indebtedness and the sale of our equity. We may not generate positive cash flow from operations or achieve profitability in any given period, and our limited operating history may make it difficult for you to evaluate our current business and our future prospects.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patients.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w:t>
      </w:r>
    </w:p>
    <w:p>
      <w:pPr>
        <w:spacing w:after="0" w:line="1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sensitive information related to our business or our patients, or prevent us from accessing critical information and expose us to liability, which could adversely affect our business, operations and our reputation.</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our business, we collect, store, use and disclose sensitive data, including protected health information, or PHI, and other types of personal data or personally identifiable information, or PII, relating to our employees, our Privia Providers’ patients and others. We also process and store, and use third-party service providers to process and store, sensitive information, including intellectual property, trade secrets, confidential information and other proprietary business information. We manage and maintain such sensitive data and information utilizing a combination of managed data center systems and cloud-based computing center systems.</w:t>
      </w:r>
    </w:p>
    <w:p>
      <w:pPr>
        <w:spacing w:after="0" w:line="13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are highly dependent on information technology networks and systems, including the internet, to securely process, transmit and store this sensitive data and information. Security breaches of this infrastructure, including physical or electronic break-ins, computer viruses, attacks by hackers and similar breaches, and employee or contractor error, negligence or malfeasance, can create system disruptions, shutdowns or unauthorized disclosure or modifications of such sensitive data or information, causing PHI or other PII to be accessed or acquired without authorization or to become publicly available. We utilize third-party service providers for important aspects of the collection, storage, processing and transmission of employee and patient information, and other confidential and sensitive information, and therefore rely on third parties to manage functions that have material cybersecurity risks. Because of the sensitivity of the PHI, other PII and other sensitive information we and our service providers collect, store, transmit, and otherwise process, the security of our technology-enabled platform and other aspects of our services, including those provided or facilitated by our third-party service providers, are critical to our operations and business strategy. We take certain administrative, physical and technological safeguards to address these risks, such as evaluating such service providers before granting access to PHI or other PII, and by requiring contractors and other third-party service providers who handle this PHI, other PII and other sensitive information for us to enter into agreements that contractually obligate them to use reasonable efforts to safeguard such PHI, other PII, and other sensitive information. Measures taken to protect our systems, those of our contractors or third-party service providers, or the PHI, other PII, or other sensitive information we or contractors or third-party service providers process or maintain, may not adequately protect us from the risks associated with the collection, storage, processing and transmission of such sensitive data and information. We may be required to expend significant capital and other resources to protect against security breaches or to alleviate problems caused by security breaches. Despite our implementation of security measures, cyber-attacks are becoming more sophisticated and frequent. Additionally, the Department of Health and Human Services (“HHS”) and the Federal Bureau of Investigation alerted health care providers on October 28, 2020 that ransomware activity is currently targeting the healthcare and public health sectors. As a result, we or our third-party service providers may be unable to anticipate these techniques or to implement adequate protective measures, especially with more workforce members working remotely because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security breach or privacy violation that leads to disclosure or unauthorized use or modification of, or that prevents access to or otherwise impacts the confidentiality, security, or integrity of, any PII, patient information, including PHI subject to HIPAA or any other sensitive information we or our contractors or third-party service providers maintain or otherwise process, could harm our reputation, compel us to comply with breach notification laws, cause us to incur significant costs for remediation, fines, penalties, notification to individuals and for measures intended to repair or replace systems or technology and to prevent future occurrences, potential increases in insurance premiums, and require us to verify the accuracy of database contents, resulting in increased costs or loss of revenue.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Privia Physicians and patients, and we may as a result suffer loss of reputation, adverse impacts on our Privia Providers, patients and investor confidence, financial loss, governmental investigations or other actions, regulatory or contractual penalties, and other claims and liability. In addition, security breaches and other inappropriate access to, or acquisition or processing of, information can be difficult to detect, and any delay in identifying such incidents or in providing any notification of such incidents may lead to increased organizational harm.</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Any such breach or interruption of our systems or those of any of our third-party service providers could compromise our networks or data security processes and sensitive information could be made inaccessible or could be accessed by unauthorized parties, publicly disclosed, lost or stolen. Any such interruption in access, improper access, disclosure or other loss of information could result in legal claims or proceedings, liability under laws and regulations that protect the privacy of patient information or other personal information, such as HIPAA, and regulatory penalties. Unauthorized access, loss or dissemination could also disrupt our operations, including the ability of our Privia Providers to perform healthcare services, access patient health information, collect, process, and prepare company financial information, provide information about our current and future services and engage in other patient and clinician education and outreach efforts. Any such breach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Further, we maintain copies of our critical operational information, including our EMR data, in different geographic settings and the cloud, and we may not be able to access such copies in the event of a national emergency or widespread natural disaster. Any such breach or interruption of our systems or those of any of our third-party service providers could have a material adverse impact on our business, results of operations, financial condition and cash flows.</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could be harmed if the Patient Protection and Affordable Care Act is overturned or by any legislative, regulatory or industry change that reduces healthcare spending or otherwise slows or limits the transition to more assumption of risk by healthcare providers.</w:t>
      </w:r>
    </w:p>
    <w:p>
      <w:pPr>
        <w:spacing w:after="0" w:line="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Continued uncertainty about, and continued political challenges to the Patient Protection and Affordable Care Act (“ACA”) is a continuing risk. We embrace many of the goals of the ACA, including our current ACOs actively participating in the MSSP, which have resulted in shared savings under the MSSP in excess of $90 million since we started participating in the program in 2014.</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for 2021 may decrease our Medical Groups’ uninsured patient populations while increasing enrollment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operating model, the Privia Technology Solution and our revenue are dependent on the healthcare industry’s continued movement towards providers assuming more risk from payers for the cost of patient care.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legislative, regulatory or industry changes that slows or limits that movement or otherwise reduces the non-facility-based healthcare spending would most likely be detrimental to our business, revenue, financial projections and growth. VBC arrangements typically require providers to achieve certain quality indicators either as a gating prerequisite to realizing value-based revenue enhancements or as a positive or negative multiplier related to such payments, including, for example, the MSSP. Periodic changes to the quality metrics that our Privia Providers are required to report, either as to the included metric, how the metric is measured or the necessary thresholds for satisfying the metric, could adversely impact our revenue relative to such VBC arrangements.</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also impacted by the Medicare Access and CHIP Reauthorization Act, under which physicians must choose to participate in one of two payment formulas, the Merit-Based Incentive Payment System, or MIPS, or Alternative Payment Models, or APMs. Beginning in 2019, MIPS allows eligible physicians to receive upward or downward adjustments to their Medicare Part B payments based on certain quality and cost metrics, among other measures. As an alternative, physicians can choose to participate in an Advanced APM. Advanced APMs are exempt from the MIPS requirements, and physicians who are meaningful participants in APMs will receive bonus payments from Medicare pursuant to the law. CMS has proposed limiting the number of significant changes to the Quality Payment Program in 2021 by continuing a gradual implementation timeline for MIPS and APMs.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current and prior healthcare reform proposals have included the concept of creating a single payer or public option for health insurance. If enacted, these proposals could have an extensive impact on the healthcare industry, including us. We are unable to predict whether such reforms may be enacted or their impact on our operations.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and commercial payers will pay for healthcare services, which could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compete directly with national, regional and local providers of healthcare services for patients, physicians, non-physician clinicians and skilled employees. There are many other companies and individuals currently providing healthcare services, including others with technology-enabled, nationally focused business models similar to ours. Many of these competitors have been in business longer than us and/or have substantially more resources than we do. Since there are virtually no substantial capital expenditures required for providing healthcare services, there are few financial barriers to entry in the healthcare industry. Other companies could enter the healthcare industry in the future and divert some or all of our business. We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Our indirect competitors also include episodic point solutions, such as telemedicine offerings, as well as urgent care providers.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1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compete successfully varies from location to location and depends on a number of factors, including the number of competing medical practices in the local market and the types of services available at those facilities, our local reputation for quality care of patients, the commitment and expertise of our Privia Physicians, our ability to obtain competitive reimbursement rates with commercial payers, our local service offerings and the success of physician sales efforts, the cost of care in each locality, and the physical appearance, location, age and condition of the various locations at which our Privia Physicians furnish patient care services. If we are unable to attract patients to our Medical Groups, our revenue and profitability will be adversely affected. Some of our competitors may have greater recognition and be more established in their respective communities than we are, and may have greater financial and other resources than we have. Competing medical practices may also offer larger facilities or different programs or services than we do, which, combined with the foregoing factors, may result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competitors being more attractive to our current patients, potential patients and referral sources. Furthermore, while we budget for routine capital expenditures to stay competitive in our respective markets, to the extent that competitive forces cause those expenditures to increase in the future, our financial condition may be negatively affected. In addition, our relationships with federal health care programs and commercial payers are not exclusive, and our competitors have established or could seek to establish relationships with such payers to serve their covered patients. Additionally, as we expand into new geographical markets, we may encounter competitors with stronger relationships or recognition in the community in such new geography, which could give those competitors an advantage in obtaining physicians and new patients. Our Privia Providers, Non-Owned Medical Groups and companies in other healthcare industry segments, including those with which we have contracts, and some of which have greater financial, marketing and staffing resources, may become competitors in providing healthcare services, and this competition may have a material adverse effect on our business operations and financial position.</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Each of our revenue streams ultimately depends on reimbursements by third-party payers, as well as payments by individuals, which could lead to delays and uncertainties in the reimbursement process.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reimbursement process is complex and can involve lengthy delays. Although we recognize FFS revenue for our Owned Medical Groups when their associated Privia Providers approve the claims for providing services to patients, we may from time to time experience delays in receiving the associated reimbursement and, with respect to VBC arrangements, ultimate payment of any shared savings, bonuses, withholds and similar payments is received only after the close of the relevant measure period, which may be a calendar year, and then only after the payer has reconciled cost of care, FFS reimbursement paid, if any, reported quality data, and patient attribution resulting in significant delays between the provision of services and ultimate payment. In addition, third-party payers may disallow, in whole or in part, requests for reimbursement based on determinations that the patient is not eligible for coverage, certain amounts are not reimbursable under plan coverage or were for services provided that were not medically necessary, not adequately documented or after submitting additional supporting documentation requested by the payer. Retroactive adjustments may change amounts realized and recognized as revenue from third-party payers. As described below, we are subject to audits by such payers, including governmental audits of our Medicare claims, and may be required to repay these payers if a finding is made that we were incorrectly reimbursed. Delays and uncertainties in the reimbursement process may adversely affect accounts receivable, increase the overall costs of collection and cause us to incur additional borrowing costs. Third-party payers are also increasingly focused on controlling healthcare costs, and such efforts, including any revisions to reimbursement policies, which may further complicate and delay our reimbursement of claims.</w:t>
      </w:r>
    </w:p>
    <w:p>
      <w:pPr>
        <w:spacing w:after="0" w:line="1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certain of our patients are covered under health plans that require the patient to cover a portion of their own healthcare expenses through the payment of copayments or deductibles. We may not be able to collect the full amounts due with respect to these payments that are the patient’s financial responsibility, or in those instances where our Privia Physicians provide services to uninsured individuals or individuals for which the physician is out of network. To the extent permitted by law, amounts not covered by third-party payers are the obligations of individual patients for which we may not receive whole or partial payment. Any increase in cost shifting from third-party payers to individual patients, including as a result of high deductible plans for patients, increases our collection costs and reduces overall collections.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reimbursement rates paid by federal health care programs are reduced or if government payers otherwise restrain our ability to obtain or provide services to program beneficiaries, our business, financial condition and results of operation could be harmed.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Payments from such federal health care programs are subject to periodic statutory changes, annual regulatory changes, administrative rulings, interpretations and determinations, requirements for utilization review and federal and state funding restrictions, each of which could increase or decrease program payments, as well as affect the cost of providing service to patients and the timing of payments to our Medical Groups, and our ACOs. We are unable to predict the effect of recent and future policy changes on our operations. In addition, the uncertainty and fiscal pressures placed upon federal health care programs as a result of, among other things, deterioration in general economic conditions, reduced tax revenue and the funding requirements from the federal healthcare reform legislation, may affect the availability of taxpayer funds for such federal health care program. Changes in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health care programs may reduce the reimbursement we receive and could adversely impact our business and results of operations.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federal healthcare expenditures continue to increase, and state governments continue to face budgetary shortfalls, federal and state governments have made, and continue to make, significant changes in the Medicare and Medicaid programs. These changes include reductions in reimbursement levels and new or modified demonstration projects authorized pursuant to Medicaid waivers. Some of these changes have decreased, or could decrease, the amount of money our Medical Groups receive for furnishing patient care services relating to these programs. In some cases, private third-party payers rely on all or portions of Medicare payment systems to determine payment rates. Changes to federal health care programs that reduce payments under these programs may negatively impact the payments our Medical Groups receive from private third-party payers.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2018, Congress passed the Balanced Budget Act, or the BBA, which, among other things, repealed the Independent Payment Advisory Board that was established by the ACA and intended to reduce the rate of growth in Medicare spending by extending sequestration cuts to Medicare payments, and, due to subsequent legislative amendments, will remain in effect through 2030 unless additional Congressional action is taken. Pursuant to the Coronavirus Aid, Relief, and Economic Security Act, also known as the CARES Act, as well as subsequent legislation, these reductions were suspended from May 1, 2020 through December 31, 2020 due to the COVID-19 pandemic. The Consolidated Appropriations Act, 2021, extended the Medicare suspension through the first quarter of 2021. On April 14, 2021, President Biden signed into law H.R. 1868, which extends the suspension of Medicare sequestration through December 31, 2021.</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for 2021 may decrease our Medical Groups’ uninsured patient populations while increasing enrollment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reimbursement rates paid by commercial payers are reduced or if commercial payers otherwise restrain our ability to provide services to their enrollees through narrow network products or otherwise, our business could be harmed.</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typical agreements with commercial payers only secure agreed reimbursement rates for a relatively short period of time, generally for a period of one to three years. Likewise, at this time, all of our existing commercial payer contracts are local or regional contracts as opposed to national contracts. If any commercial payers reduce their reimbursement rates, elect not to cover some or all of our Medical Group’s healthcare services, or restrain our Privia Providers’ ability to furnish services to their patients through the use of tiered pricing or a narrow network offering, our business may be harmed. If such events were to occur, not only is revenue to our Medical Groups reduced, which in turn reduces our management fees, but if our commercial payer contracts are not competitive in a given market or we are unable to obtain a contract with certain commercial payers, we limit our ability to recruit new Privia Physicians and may not be able to achieve our growth expectations.</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Commercial payers often use plan structures, such as narrow networks or tiered networks, to encourage or require members to use in-network providers. In-network providers typically provide services through commercial payers for a negotiated lower rate or other less favorable terms and achieve their margins by increased volume of services. Commercial payers generally attempt to limit the use of out-of-network providers by requiring members to pay higher copayment and/or deductible amounts for out-of-network care. Additionally, commercial payers have become increasingly aggressive in attempting to minimize the use of out-of-network providers by disregarding the assignment of payment from their enrollees to out-of-network providers (i.e., sending payments directly to members instead of to out-of-network providers), capping out-of-network benefits payable to members, waiving out-of-pocket payment amounts and initiating litigation against out-of-network providers for interference with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relationships, insurance fraud and violation of state licensing and consumer protection laws. If we become out-of-network for insurers, our business could be harmed and our patient service revenue could be reduced because members could stop using our services. Further, many states have laws and regulations that prevent providers from waiving patient out of pocket amounts, including out of network charges, when such providers submit their full charges to commercial payers.</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 2021, the Departments of Health and Human Services, Labor and Treasury issued an interim final rule intended to reduce surprise billing in health care. Although most of the provisions will not go into effect until January 1, 2022, the rule seeks to limit excessive patient out-of-pocket amounts by limiting cost sharing for out-of-network services to in-network levels, requiring cost sharing for out-of-network payments to offset in-network deductibles, setting out-of-pocket maximums and prohibiting balance billing under certain circumstances. It is currently unclear how such changes will impact our revenue, bad debt, and the competitive advantages of our Medical Groups being in network status across markets. Compliance will require additional training and the build-out of new safeguards to comport our Medical Groups’ billing and collection practices with the new requirements of the interim final rule.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payer mix of patients and potential decreases in our reimbursement rates as a result of consolidation among commercial payers could adversely affect our revenues and results of operation.</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amounts our Medical Groups receive for patient care services furnished to patients are determined by a number of factors, including the payer mix of our Privia Physicians’ patients and the reimbursement methodologies and rates utilized by our patients’ health insurance company. Reimbursement rates are generally higher for VBC than they are under traditional FFS arrangements, and VBC provides us with an opportunity to capture any additional surplus we create by investing in population health services to better manage a particular patient’s care, which, in turn, should reduce the total cost of care. Under certain VBC arrangements, either our management service organizations or our ACOs may receive specific care management fees, administrative fees or other fees to cover such population health and care management services, which may be structured as a fixed fee per member per month, or PMPM, for such services. Under FFS arrangements, our Medical Groups collect fees directly from commercial payers as services are furnished to patients. FFS arrangements accounted for 86.5% and 85.8% for the nine months ended September 30, 2021 and 2020, respectively, and 89.7% and 93.1% of our practice collections for the years ended December 31, 2020 and 2019, respectively, while VBC accounted for 12.9% and 11.6% for the nine months ended September 30, 2021 and 2020, respectively, and 8.6% and 6.6% of practice collections for the years ended December 31, 2020 and 2019, respectively.</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change in payer mix, which could result from payer restrictions on such narrow network products or economic downturn resulting in more uninsured patients or patients insured by state Medicaid programs, could adversely affect the overall reimbursement our Medical Groups receive from commercial payers. Further, changes in payer mix, may adversely impact our ability to recruit new physicians to affiliate with our Medical Groups, which could adversely affect our growth strategy and financial projections.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healthcare industry has also experienced a trend of consolidation across market segments, including the consolidation of commercial payers resulting in larger payers that have significant bargaining power, given their market share. Payments from commercial payers are the result of negotiated rates. These rates may decline based on renegotiations with larger payers resulting in higher discounted fee arrangements with healthcare providers. As a result, payers increasingly are demanding discounted fee structures or the assumption by healthcare providers of all or a portion of the financial risk related to the total cost of care of their enrollees.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Reductions in the quality of services furnished by our Medical Groups or our ACO participants could have a material adverse effect on our business, results of operations, financial condition and cash flows.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monitor and manage quality metrics, including star rating for Medicare Advantage plans and MSSP quality metrics, and submit quality data on behalf of our Medical Groups, as well as our ACO participants. A failure to achieve threshold standards for quality metrics could result in the loss of any shared savings or other bonuses, or result in a reduction of such payments under VBC arrangements. Further, under the Medicare Advantage plans’ star rating system, lower star ratings correspond to lower quality ratings, and ultimately, lower payments to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providers under the Quality Bonus Program. Further, with the implementation of MIPS and APMs, lower quality scores ultimately result in upward or downward adjustments to Privia Physicians’ Medicare Part B FFS payments. Further, lower quality ratings can potentially lead to the termination of an affiliate physician’s ability to participate in a particular commercial payer product or result in our Medical Groups not being able to participate in a particular VBC arrangement, tiered network or narrow network offering. All of these possible outcomes could have a material adverse effect on our business, results of operations, financial condition and cash flows.</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our current agreements or arrangements with any of our majority-owned medical groups are deemed invalid under state law, including laws against corporate practice of medicine or federal law, or are terminated as a result in changes in state law affecting consolidation of these entities, it could have a material adverse effect on our consolidation of such medical groups.</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financial statements are consolidated in accordance with applicable accounting standards and include the accounts of our majority-owned subsidiaries. Such consolidation for accounting and/or tax purposes does not, is not intended to, and should not be deemed to, imply or provide us any control over the medical or clinical affairs of such practices. In the event of an adverse determination by a regulatory agency or a court, or a change in state or federal law relating to the ability to maintain present agreements or arrangements with such practices where we are unable to maintain a majority interest in our medical groups, we may not be permitted to continue to consolidate such practices.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including through the maintenance and protection of trademarks, our business and results of operations will be harmed.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Medical Groups, Privia Providers, patients, ACO participants, and commercial payers, and to our ability to attract new Medical Groups, Privia Physicians and patients.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Medical Groups, Privia Physicians, ACO participants, health system or hospital partners, patients, or commercial payer customers, or any adverse publicity or litigation involving or surrounding us, one of our Medical Groups, or our management, could make it substantially more difficult for us to attract new Privia Physicians. Similarly, because our existing Medical Groups often act as references for us with prospective Privia Physicians or new Medical Groups, any reputational concerns could impair our ability to secure additional new Privia Physicians and Medical Groups. In addition, negative publicity resulting from any adverse government payer audit could injure our reputation. If we do not successfully maintain and enhance our reputation and brand recognition, our business may not grow and we could lose our relationships with Privia Physicians, Medical Groups, ACO participants, health system or hospital partners, patients, or commercial payer customers, which would harm our business, results of operations and financial condition.</w:t>
      </w:r>
    </w:p>
    <w:p>
      <w:pPr>
        <w:spacing w:after="0" w:line="12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registered or unregistered trademarks or trade names that we own or license may be challenged, infringed, circumvented, declared generic, lapsed or determined to be infringing on or dilutive of other marks. We may not be able to protect our rights in these trademarks and trade names, which we need in order to build name recognition with patients, payers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 can be long and unpredictable and requires considerable time and expense, which may cause our results of operations to fluctuate.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cycle for physicians to become affiliated with our Medical Groups from initial contact with a potential lead to contract execution, varies widely and is unpredictable. Further, once a physician has executed the agreements associated with one of our Medical Groups, there is a long period of implementation where the physician and his or her staff are trained on our EMR, platform and workflows, which may range from two to eight months before the Privia Physician goes live with his or her Medical Group. During such implementation period, we are incurring costs associated with the implementation without any corresponding revenue. Our sales efforts involve educating potential Privia Physicians about our market offerings, the health care industry and the physician practice’s expected return on investment from becoming affiliated with the Medical Group. It is possible that in the future we may experience even longer sales cycles, especially with respect to moving into new geographic markets and as markets become more mature and concentrated, which could result in more upfront sales costs and less predictability in closing our Privia Physician sales.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we expect to grow rapidly, our physician acquisition costs could outpace our build-up of recurring revenue, and we may be unable to reduce our total operating costs through economies of scale such that we are unable to achieve profitability. Any increased or unexpected costs or unanticipated delays in taking a Privia Physician live on our technology-enabled platform, including delays caused by factors outside our control, could cause a Privia Physician to terminate his or her relationship prior to going live on our technology-enabled platform causing our operating results and growth targets to suffer. Further, if a Privia Physician terminates prior the end of the initial term, we are unlikely to recover our spent acquisition costs associated with such Privia Physician, which could negatively affect our revenue and profits.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cannot timely implement the Privia Technology Solution for Privia Physicians and new Medical Groups, or resolve Privia Provider and patients concerns, including any technical and billing issues, in a timely manner, we may lose Medical Groups, Privia Providers and their patients, and our reputation may be harmed.</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seamless onboarding of Privia Physicians, whether done by ourselves or through third-party vendors, onto our technology-enabled platform, including training on conversion to and the use of our EMR, the education of Privia Physicians and their support staff, the credentialing of Privia Physicians and other providers with applicable federal health care programs and commercial payers, training on cash flow processing, website development, and the build out of workflows and customized EMR support, if any, is essential to a timely transition to our technology-enabled platform. As of December 2020, practices on the Privia Platform were converted from 48 different EMR vendors. If we face unanticipated implementation difficulties or Privia Physicians and their support staff are unable to smoothly transition to our operating model, we risk delaying the go live date of our new physician practices, which would negatively impact our revenue. Further, if the Privia Physician and his or her support staff’s implementation process is not executed successfully or if execution is delayed, we could incur significant costs, Privia Physicians could become dissatisfied and decide to neither continue implementation nor go live on our technology-enabled platform. In such event, we risk litigation from the Privia Physician, especially if he or she loses access to his or her historical commercial payer contracts. In addition, competitors with more efficient operating models with lower implementation costs could jeopardize both our provider and commercial payer relationships.</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Privia Providers and their patients depend on our call center support services to resolve their operational concerns including technical issues relating to the Privia Technology Solution and services, and patient billing inquires, and we may be unable to respond quickly enough to accommodate short-term increases in demand for support services, particularly as we increase the size of our Privia Physicians and patient bases. We also may be unable to modify the format of our support services to compete with changes in support services provided by competitors. It is difficult to predict demand for call center support services, and if demand increases significantly, we may be unable to provide satisfactory support services to our Privia Physicians and their patients. Further, if we are unable to address our Privia Physicians and their patients’ needs in a timely fashion or further develop and enhance our support services, or if a Privia Physician or patient is not satisfied with the quality of work performed by us or with the call center support services rendered, then we could incur additional costs to address the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in certain markets, be required to issue credits or incur penalties related for such untimely or poor performance, and our profitability may be impaired and our Privia Physicians and their patients’ dissatisfaction with our support services could damage our ability to retain Privia Physicians and their patients. Such Privia Physicians may not renew their contracts, seek to terminate their relationship with us or renew on less favorable terms. Moreover, negative publicity related to our Privia Physician relationships, regardless of its accuracy, may further damage our business by affecting our reputation or ability to compete for new Privia Physicians in the market. If any of these were to occur, our revenue may decline and our business, financial condition and results of operations could be adversely affected.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continue to innovate and evolve our service offerings in a way that is useful to our Medical Groups, Privia Physicians and their patients, and our health system or hospital partners, we may not remain competitive, fail to meet our growth expectations, and our revenue and results of operations could suffer.</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market for healthcare in the United States is in the early stages of structural change and is rapidly evolving toward a more VBC model with an increased emphasis on technological solutions and a customer centered focus. Our success depends on our ability to keep pace with technological developments, satisfy increasingly sophisticated physician, payer and patient requirements, and sustain market acceptance. Our future financial performance will depend in part on growth in the healthcare market and on our ability to adapt to emerging demands of the market, including adapting to the ways our Medical Groups, Privia Physicians and their patients, our health system and hospital partners, and our commercial payer customers access and use our technology-enabled platform, the Privia Technology Solution and our operating model. Our competitors are constantly developing products and services that may become more efficient or appealing to Privia Physicians and their patients, our health system or hospital partners or our commercial payer customers. As a result, we must continue to invest significant resources in research and development in order to enhance our existing service offerings and introduce new high-quality services and applications that such customers will want, while offering our platform, the Privia Technology Solution and the Privia operating model at competitive prices. If we are unable to predict customer preferences or industry changes, or if we are unable to modify our service offering on a timely or cost-effective basis, we may lose Medical Groups, Privia Physicians, patients, health system or hospital partners, ACO participants and payer customers. Our results of operations would also suffer if our innovations are not responsive to the needs of our multiple stakeholders,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technology-enabled platform, the Privia Technology Solution, or Privia operating model. This may force us to compete on additional service attributes and to expend significant resources in order to remain competitive.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existing Medical Groups, Privia Providers, health system or hospital partners, ACO participants or payer customers do not continue to renew their contracts with us, renew at lower fee levels or decline to purchase additional applications and services from us, it could have a material adverse effect on our business, financial condition and results of operations.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to derive a significant portion of our revenue from renewal of existing contracts with our Medical Groups, Privia Providers, health system or hospital partners, ACO participants and payer customers. As part of our growth strategy, for instance, we have recently focused on expanding our revenue enhancement opportunities for Medical Groups such as our development of our virtual visits platform, our scribe program, and the opening of a centralized laboratory in our Mid-Atlantic market. As a result, achieving high customer retention rates and selling additional applications and services are critical to our future business, revenue growth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Factors that may affect our retention rate and our ability to sell additional solutions and services include, but are not limited to, the following:</w:t>
      </w:r>
    </w:p>
    <w:p>
      <w:pPr>
        <w:spacing w:after="0" w:line="18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performance and functionality of our technology-enabled platform and technological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Privia Physician acceptance and adoption of new services and utilization of new revenue enhancing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price, performance and functionality of competing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fairly price and sell complementary solutions and services to our Privia Physicians and payer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security, performance and stability of our technology-enabled platform, EMR, hosting infrastructure and hosting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applicable health care laws, regulations and trends;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business environment of our Medical Groups, Privia Physicians, health system or hospital partners, ACO participants and payer customers.</w:t>
      </w:r>
    </w:p>
    <w:p>
      <w:pPr>
        <w:spacing w:after="0" w:line="1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typically enter into multiyear contracts with our Medical Groups, Privia Physicians, health system or hospital partners, ACO participants and payer customers, which often have a stated initial term of three years and automatically renew for successive one-year terms. We had 95% average provider retention over the past four years. Further, during the initial term we generally limit the opportunities for our Medical Groups, Privia Physicians, health system or hospital partners, and ACO participants to terminate their contractual arrangements. If our Medical Groups, Privia Physicians, health system or hospital partners, ACO participants and payer customers fail to renew their contracts, renew their contracts upon less favorable terms or at lower fee levels or fail to utilize additional products and services obtained from us, our revenue may decline or our future revenue growth may be constrained. Should any of our physician practices terminate their relationship with us after implementation has begun, we would not only lose our time, effort and resources invested in that implementation, but we would also have lost the opportunity to leverage those resources to build a relationship with other Privia Physicians over that same period of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expand our direct sales force and our business development staff will impede our growth.</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our future growth will depend on the continued development of our direct sales force and its ability to obtain new Privia Physicians while our implementation team and practice consultants manage existing affiliate physician relationships. Additionally, we rely upon our business development staff to identify and develop potential relationships with new Medical Groups and health system or hospital partners in new geographical markets. Identifying and recruiting qualified personnel and training them requires significant time, expense and attention especially given the complexity of our business and the Privia operating model. It can take six months or longer before a new sales representative is fully trained and productive. Our business may be adversely affected if our efforts to expand and train our direct sales force and business development staff do not generate a corresponding increase in revenue. In particular, if we are unable to hire and develop sufficient numbers of productive direct sales and business development personnel or if new personnel are unable to achieve desired productivity levels in a reasonable period of time, our expected growth will be impeded.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pricing may change over time and our ability to efficiently price the Privia Technology Solution and our Privia operating model will affect our results of operations and our ability to attract or retain Medical Groups, Privia Physicians, health system or hospital partners, ACO participants and commercial payer customers.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management and administrative fees we charge our physicians have generally been set as a percentage of the Non-Owned Medical Group’s FFS collections provided, such an arrangement is allowed under state fee splitting laws. Florida, for instance, severely restricts percentage management fees and is structured as a fixed annual amount. Although subject to negotiation when a Privia Physician already receives care management fees, administrative fees or similar fees, from payers, Privia will typically retain such fees to offset their costs of providing population health services. In the past, we have allowed Privia Physicians to purchase additional services on an a la carte basis. While we determined these prices based on prior experience, the costs inputs associated with the services, and feedback from our Medical Groups, Privia Physicians, health system or hospital partners, ACO participants and payer customers, our assessments may not be accurate and we could be underpricing or overpricing the Privia Technology Solution and our operating model, which may require us to continue to adjust our pricing model. It is essential, however, that our prices remain competitive in the marketplace while providing a reasonable return on investment to allow us to economically provide such services. Additionally, such fees must generally be in the range of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value under federal and state fraud and abuse laws such as the Anti-Kickback Statute and the Stark Law. Furthermore, as our applications and services change, we may need to, or choose to, revise our pricing as our prior experience in those areas will be limited. Such changes to our pricing model or our inability to efficiently price our services could harm our business, results of operations, and financial condition and impact our ability to predict our future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may not prove viable and we may not realize expected results.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strategy is to grow rapidly by expanding our Privia Physicians in existing markets and building new Medical Group in new geographical markets. New market growth is significantly dependent on partnering with anchor medical practices or health systems or hospitals in such new geographic markets. Likewise, our growth strategy is dependent on growing same-store sales for our Medical Groups by offering new revenue enhancing services, such as our virtual visit platform, assisting our Medical Groups in recruiting new patients, and partnering or contracting with commercial payers to enter new VBC arrangements on behalf of our Medical Groups. We seek growth opportunities both organically and through alliances with payers or other healthcare providers. Our ability to grow organically depends upon a number of factors, including how effectively we can execute our same-store sales growth strategies. We cannot guarantee that we will be successful in pursuing our growth strategy. If we fail to evaluate and execute new business opportunities properly, or if we have an adverse effect under one or more of our other “Risk Factors,” we may not achieve anticipated benefits and may incur increased costs.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growth strategy involves a number of risks and uncertainties, including that:</w:t>
      </w:r>
    </w:p>
    <w:p>
      <w:pPr>
        <w:spacing w:after="0" w:line="171" w:lineRule="exact"/>
        <w:rPr>
          <w:sz w:val="20"/>
          <w:szCs w:val="20"/>
          <w:color w:val="auto"/>
        </w:rPr>
      </w:pPr>
    </w:p>
    <w:p>
      <w:pPr>
        <w:jc w:val="both"/>
        <w:ind w:left="660" w:hanging="328"/>
        <w:spacing w:after="0" w:line="30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not be able to successfully enter into contracts with commercial payers on terms favorable to our Medical Groups or at all. In addition, we compete for payer relationships with other physician practices and intermediary entities such as non-Privia ACOs, independent physician associations (IPAs), physician hospital organizations (PHOs), etc., some of whom may have greater resources than we do. This competition may intensify due to the ongoing consolidation in the healthcare industry, which may increase our costs to pursue such opportunities;</w:t>
      </w:r>
    </w:p>
    <w:p>
      <w:pPr>
        <w:spacing w:after="0" w:line="103"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recruit or retain a sufficient number of new Medical Groups or Privia Physicians or patients to execute our growth strategy, and we may incur substantial costs to recruit Privia Physicians or new patients and we may be unable to recruit a sufficient number of Privia Physicians and/or new patients to offset those costs;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execute physician services agreements with a sufficient number of Privia Physicians and may fail to integrate new Privia Physicians, their support staff, or our employees into our operating model;</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when expanding our business into new markets, we may be required to comply with laws and regulations that may differ from states in which we currently operate and compliance with such laws may slow our expected growth or limit our potential market of available physicians;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depending upon the nature of the new geographical market, we may not be able to fully implement our Privia operating model in every geographical market that we enter, which could negatively impact our revenues and financial condition.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can be no assurance that we will be able to successfully capitalize on growth opportunities, which may negatively impact our business model, revenues, results of operations and financial condition.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stakeholder service and patient satisfaction, or adequately address competitive challenges.</w:t>
      </w:r>
    </w:p>
    <w:p>
      <w:pPr>
        <w:spacing w:after="0" w:line="11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improve our operational, financial and management controls, as well as our reporting systems and procedures. We may require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and the allocation of valuable management resources to grow and change in these areas. We must effectively increase our headcount and continue to effectively train and manage our employees. We will be unable to manage our business effectively if we are unable to alleviate the strain on resources caused by growth in a timely and successful manner. If we fail to effectively manage our anticipated growth, the quality of our services may suffer, which could negatively affect our brand and reputation and harm our ability to attract and retain Medical Groups, Privia Providers, patients and employees.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stakeholder service and satisfaction. As our Privia Physician base continues to grow, we will need to expand our populations health, patient services and other personnel, either through employment or contractual arrangements to provide personalized stakeholder service. If our Medical Groups are not able to continue to provide high quality cost effective healthcare services with high levels of patient satisfaction, our reputation, as well as our business, results of operations and financial condition could be adversely affected, including a failure to realize the benefits of any VBC arrangements.</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New Medical Groups and Privia Providers must be properly credentialed and enrolled in commercial payer plans and federal health care programs before our Medical Groups can receive reimbursement for their services, and there may be significant delays in the enrollment process.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time a new Privia Provider joins one of our Medical Groups or we partner with a new Medical Group, we must credential and enroll the new Privia Provider or Medical Group under our applicable group identification number for the Medicare and Medicaid programs and for certain commercial payer programs before the applicable Medical Group can receive reimbursement for healthcare services furnished by the new Privia Provider to beneficiaries or enrollees of those programs. The estimated time to receive approval for the enrollment is sometimes difficult to predict. Failure to timely or accurately complete necessary credentialing information, whether such fault lies with the new Privia Provider or us, results in delayed reimbursement that may adversely affect our cash flows and revenue.</w:t>
      </w:r>
    </w:p>
    <w:p>
      <w:pPr>
        <w:spacing w:after="0" w:line="1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With respect to Medicare, providers can retrospectively bill Medicare for services provided 30 days prior to the effective date of the enrollment so long as the individual Medicare enrollment application and assignment are correctly submitted. In addition, the enrollment rules provide that the effective date of the enrollment will be the later of the date on which the enrollment application was correctly filed and approved by the Medicare contractor, or the date on which the provider began furnishing healthcare services. If we are unable to properly enroll Privia Providers in a timely manner (at least 30 days after such provider begins furnishing patient care services), the affected Medical Group will be precluded from billing Medicare for any services which were provided to a Medicare beneficiary more than 30 days prior to the effective date of the enrollment. With respect to Medicaid, new enrollment rules and whether a state will allow providers to retrospectively bill Medicaid for services provided prior to submitting an enrollment application varies by state. Failure to timely enroll providers could reduce revenue to our Medical Groups and have a material adverse effect on the business, financial condition or results of our operations.</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ACA, as currently structured, added additional enrollment requirements for Medicare and Medicaid, which have been further enhanced through implementing regulations and increased enforcement scrutiny. Every enrolled provider must revalidate its enrollment at regular intervals and must update the Medicare contractors and many state Medicaid programs with significant changes on a timely basis. If we fail to provide sufficient documentation as required to maintain our enrollment, Medicare and Medicaid could deny continued future enrollment or revoke our enrollment and billing privileges. Further, Medicare now subjects new locations at which physicians are furnishing services to Medicare beneficiaries to a location site visit to confirm enrollment information.</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requirements for enrollment, licensure, certification, and accreditation may include notification or approval in the event of a transfer or change of ownership or certain other changes. Other agencies or commercial payers with which we have contracts may have similar requirements, and some of these processes may be complex. Failure to provide required notifications or obtain necessary approvals may result in the delay or inability to complete an acquisition or transfer, loss of licensure, lapses in reimbursement, or other penalties. While we make reasonable efforts to substantially comply with these requirements, we cannot assure you that the agencies that administer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programs or have awarded us contracts will not find that we have failed to comply in some material respects. A finding of non-compliance and any resulting payment delays, refund demands or other sanctions could have a material adverse effect on our business, financial condition or results of operations.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rely on internet infrastructure, bandwidth providers, other third parties and our own systems to provide our technology-enabled platform to our Privia Physicians and their patients, and any failure or interruption in the services provided by these third parties or our own systems could expose us to litigation, result in a reduction of our management fees or the imposition of financial penalties on our management services organizations, and hurt our reputation and relationships with our Privia Physicians, our Medical Groups, and their patients.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ability to maintain our technology-enabled platform, including our virtual health services, is dependent on the development and maintenance of the infrastructure of the internet and other telecommunications services furnished by third parties. This includes maintenance of a reliable network connection with the necessary speed, data capacity and security for providing reliable internet access and services and reliable telephone and facsimile services. Our platform is designed to operate without perceptible interruption in accordance with our service level commitments.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however, experienced limited interruptions in these systems in the past, including temporary slowdowns in the performance of our EMR and platform, and we may experience similar or more significant interruptions in the future. We rely on internal systems as well as third-party suppliers, including network and infrastructure equipment providers, to maintain our platform and related services. We do not currently maintain redundant systems or facilities for some of these services. Interruptions in these systems or services, whether due to system failures, cyber incidents, physical or electronic break-ins or other events, could affect the security or availability of our platform or services, including access to our EMR, patient scheduling, patient and Privia Physician portals, and prevent or inhibit the ability of our Privia Physicians and their patients to access our platform or services. In the event of a catastrophic event with respect to one or more of these systems or facilities, we may experience an extended period of system unavailability, which could result in substantial costs to remedy those problems or harm our relationship with our Privia Physicians and our business.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any disruption in the network access, telecommunications or co-location services provided by third-party providers or any failure of or by third-party providers’ systems or our own systems to handle current or higher volume of use could significantly harm our business. We exercise limited control over our third-party suppliers, which increases our vulnerability to problems with services they provide. Any errors, failures, interruptions or delays experienced in connection with these third-party technologies and information services or our own systems could hurt our relationships with our Medical Groups, Privia Physicians, patients, payers and other network participants, and expose us to third-party liabilities.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reliability and performance of our internet connection may be harmed by increased usage or by denial-of-service attacks or related cyber incidents. The services of other companies delivered through the internet have experienced a variety of outages and other delays as a result of damages to portions of the internet’s infrastructure, and such outages and delays could affect our systems and services in the future. These outages and delays could reduce the level of internet usage as well as the availability of the internet to us for delivery of our internet-based services. Any of the foregoing could harm our competitive position, business, financial condition, results of operations and prospects.</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our Privia Physicians’ Affiliated Practices, which furnish certain support services on behalf of our Medical Groups, act as a business associate of their respective Medical Groups. In such capacity, they furnish certain services, that support our platform, e.g., internet service access, modems, and computer hardware that access our EMR, and may have patient health information setting on such hardware, including legacy servers. Although each legacy practice is obligated to furnish such services in compliance with HIPAA and state law, and to obtain cybersecurity insurance to cover any breaches or security incidents, a failure to comply with these obligations could result in the imposition of penalties against our Medical Groups as the covered entity under HIPAA. Further, such an incident could result in liability to the patient under state law and could damage our reputation among Privia Physicians and their patients all of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to host and maintain our technology-enabled platform.</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third-party vendors to host and maintain our technology-enabled platform. Our ability to offer our solutions and services and operate our business is dependent on maintaining our relationships with third-party vendors and entering into new relationships to meet the changing needs of our business. Any deterioration in our relationships with such vendors or our failure to enter into agreements with vendors in the future could harm our business and our ability to pursue our growth strategy. Because of the large amount of data that we collect and manage, it is possible that, despite precautions taken at our vendors’ facilities, the occurrence of a natural disaster, cyber incident, decision to close the facilities without adequate notice or other unanticipated problems could result in our non-compliance with privacy laws and regulations, loss of proprietary or personally identifiable information, or PII, and in lengthy interruptions in our service. These service interruptions could also cause our platform to be unavailable to our Medical Groups, Privia Providers, patients and network members, and impair our ability to deliver solutions and services and to manage our relationships with new and existing Medical Groups, Privia Providers, patients and network members. We do, however, maintain redundancy with respect to the critical components of our platform.</w:t>
      </w:r>
    </w:p>
    <w:p>
      <w:pPr>
        <w:spacing w:after="0" w:line="14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and if such agreements are terminated, we may not be able to enter into similar relationships in the future on reasonable terms or at all. We may also incur substantial costs, delays and disruptions to our business in transitioning such services to ourselves or other third-party vendors. In addition, third-party vendors may not be able to provide the services required in order to meet the changing needs of our business or scale as quickly as we require. Any of the foregoing could harm our competitive position, business, financial condition, results of operations and prospects.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our or our vendors’ security measures fail or are breached and unauthorized access to our employees’, contractors’, Privia Providers’, Medical Groups’ or payers’ data is obtained, our platform may be perceived as insecure, we may incur significant liabilities, including through private litigation or regulatory action, our reputation may be harmed, and we could lose relationships with Medical Groups, Privia Providers, patients and commercial payers.</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services and operations involve the storage and transmission of health network partners’ and our members’ proprietary information, sensitive or confidential data, including valuable intellectual property and personal information of employees, contractors, clients, customers, members and others, as well as the protected health information, or PHI, of our members.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security measures could result from a variety of circumstances and events, including third-party action, employee negligence or error, malfeasance, computer viruses, cyber-attacks by computer hackers,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number, sophistication and activities of perpetrators of cyber-attacks.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access to sensitive patient or member data (including PHI) or other personal information of employees, contractors, Medical Groups, Privia Providers, ACOs, network participants, patients or others, a loss of or damage to our data, an inability to access data sources, or process data or provide our services to our Medical Groups, Privia Providers, patients and network members. Such failures or breaches of our or our third-party vendors’ security measures, or our or our third-party vendors’ inability to effectively resolve such failures or breaches in a timely manner, could severely damage our reputation, adversely impact customer, partner, patient,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carry insurance or maintain coverage sufficient to compensate for all liability and in any event, insurance coverage would not address the reputational damage that could result from a security incident.</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or our third-party vendors may experience cybersecurity and other breach incidents that remain undetected for an extended period. Because techniques used to obtain unauthorized access or to sabotage systems change frequently and generally are not recognized until launched, we or our third-party vendors may be unable to anticipate these techniques or to implement adequate preventive measures. If an actual or perceived breach of our or our third-party vendors’ security occurs, or if we or our third-party vendors are unable to effectively resolve such breaches in a timely manner, the market perception of the effectiveness of our security measures could be harmed and we could lose current and potential Medical Groups, Privia Providers, and patients, which could harm our business, results of operations, financial condition and prospects.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Privia Technology Solution may not operate properly, which could damage our reputation, give rise to claims against us or divert application of our resources from other purposes, any of which could harm our business.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technology-enabled platform provides patients with the ability to, among other things, schedule services with our Privia Physicians and communicate and interact with providers, and it allows our Privia Providers to, among other things, streamline patient charting and identify gaps in care and conduct virtual visits (via video, phone or the internet). Proprietary software development is time-consuming, expensive and complex, and may involve unforeseen difficulties. We may encounter technical obstacles, and it is possible that we may discover additional problems that prevent our proprietary software from operating properly. We are currently implementing software with respect to a number of new applications and services. If our solutions do not function reliably or fail to achieve Medical Group, Privia Provider, or patient expectations in terms of performance, we may lose or fail to grow our Privia Providers and patients, could assert liability claims against us and our Medical Groups, and our Medical Groups, affiliate providers, health system partners, and ACO participants may attempt to cancel their relationships with us. This could damage our reputation and impair our ability to attract or maintain Medical Groups, Privia Physicians, patients and relationships with commercial payers.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our disaster recovery systems or management continuity planning could limit our ability to operate our business effectively.</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and similar disruptions from unauthorized tampering or any weather-related disruptions where our headquarters is located. In addition, in the event that a significant number of our management personnel were unavailable in the event of a disaster, our ability to effectively conduct business could be adversely affected.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and litigation, including intellectual property and privacy disputes, which are costly to defend and could materially harm our business and results of operations.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be party to lawsuits and legal proceedings in the normal course of business. These matters are often expensive and disruptive to normal business operations. We may face allegations, lawsuits and regulatory inquiries, audits and investigations regarding claim submission, supporting documentation for claimed reimbursement, coding for services furnished by our Privia Providers, data privacy, security, labor and employment, consumer protection and intellectual property infringement, misappropriation and other violations,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could negatively impact our geographical expansion and revenue growth. We may also become subject to periodic audits, which would likely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and our Medical Groups, Privia Providers, ACOs, management services organizations also may be subject to lawsuits under the FCA and comparable state laws for submitting allegedly fraudulent or otherwise inappropriate bills for services to the Medicare and Medicaid programs. These lawsuits, which may be initiated by government authorities as well as private party relators, which are often disgruntled employees or physicians, can involve significant monetary damages, fines, attorney fees and the award of bounties to private plaintiffs who successfully bring these suits, as well as to the federal health care programs. In recent years, government oversight and law enforcement have become increasingly active and aggressive in investigating and taking legal action against potential fraud and abuse especially in the health care industry.</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Furthermore, our business exposes our Medical Groups and Privia Providers to potential medical malpractice, professional negligence or other related actions or claims that are inherent in the provision of healthcare services. Our management services organizations and ACOs could also be subject to malpractice claims based upon an allegation that we limited medically necessary services or were otherwise negligent in setting incentives that were adverse to patient outcomes. These claims, with or without merit, could cause us to incur substantial costs, and could place a significant strain on our financial resources, divert the attention of management from our core business, harm our reputation and adversely affect our ability to attract and retain patients, any of which could have a material adverse effect on our business, financial condition and results of operations.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we and our Medical Groups and Privia Providers maintain third-party professional liability insurance coverage, it is possible that claims against us may exceed the coverage limits of our insurance policies, or the particular claim could be excluded from coverage (for example, a tort claim or lack of patient consent claim).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is highly dependent on maintaining effective information systems as well as the integrity and timeliness of the data we use to serve our Privia Providers’ patients, support our Privia Providers and care teams, monitor and manage our ACOs, monitor and manage, including reporting on behalf of, our management services organizations, and to otherwise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regard as significant. If our data were found to be inaccurate or unreliable due to fraud, corruption or other error, or if we, or any of the third-party service providers we engage, were to fail to maintain information systems and data integrity effectively, we could experience operational disruptions that may impact our Privia Physicians, Medical Groups, health system or hospital partners, patients and our commercial plan customers, as well as our compliance with reporting obligations under the Medicare program, Medicare Advantage plans and the MSSP, and commercial VBC arrangements, and hinder our ability to provide services, establish appropriate pricing for our services, retain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attract Medical Groups and Privia Physicians, manage VBC obligations, determine total cost of care and spend, establish appropriate reserves, report financial results timely and accurately, and maintain regulatory compliance, among other things.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information technology strategy and execution are critical to our continued success. We must continue to invest in long-term solutions that will enable us to anticipate our Medical Groups, Privia Providers, ACOs, and commercial payers’ needs and expectations, enhance both Privia Providers’ and patients’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depends, in part, on internally developed technology and content, including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and content and our brand. We may, over time, increase our investment in protecting our intellectual property through additional trademark, patent and other intellectual property filings that could be expensive and time-consuming to develop and maintain, both in terms of initial preparation and ongoing registration requirements and the costs of defending our rights. These measures, however, may not be sufficient to offer us meaningful protection. If we are unable to establish or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seek to analyze our competitors’ services, and may in the future seek to enforce our rights against potential infringers. However, the steps we have taken to protect our intellectual property rights may not be adequate to prevent infringement, misappropriation or other violations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may result from changes to intellectual property legislation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commercial success depends on our ability to develop, commercialize and protect our technology-enabled platform, the Privia Technology Solution and the Privia operating model, and use our internally developed technology without infringing, misappropriating or otherwise violating the intellectual property or proprietary rights of third parties. Intellectual property disputes can be costly to defend, may divert management’s attention or resources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Additionally, in recent years, individuals and groups have begun acquiring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or enforce our respective rights. We may not be able to successfully settle or otherwise resolve such adversarial proceedings or litigation. If we are unable to successfully settle future claims on terms acceptable to us, we may be required to engage in or to continue claims, regardless of whether such claims have merit, that can be time-consuming, divert management’s attention and financial resources and can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services. If we require a third-party license, it may not be available on reasonable terms or at all, and we may have to pay substantial royalties, upfront fees or grant cross-licenses to intellectual property rights for our services. We may also have to redesign our services so they do not infringe, misappropriate or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w:t>
      </w:r>
    </w:p>
    <w:p>
      <w:pPr>
        <w:spacing w:after="0" w:line="1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We are not currently subject to any claims from third parties asserting infringement of their intellectual property rights.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infringe, misappropriate or otherwise violate their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property rights could therefore have a material adverse effect on our business, financial condition and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may not be able to protect our trade secrets, know-how and other internally developed information adequately. Although we use reasonable efforts to protect this internally developed information and technology, our employees, consultants, Privia Providers and other parties (including independent contractors and companies with which we conduct business) may unintentionally or willfully disclose our information or technology to competitors. Enforcing a claim that a third party illegally disclosed or obtained and is using any of our internally developed information or technology is difficult, expensive and time-consuming, and the outcome is unpredictable. In addition, courts outside the United States are sometimes less willing to protect trade secrets, know-how and other proprietary information and the laws regarding such protections vary among jurisdictions. We rely, in part, on non-disclosure, confidentiality and assignment-of-invention agreements with our employees, independent contractors, consultants, customers and other companies with which we conduct business to protect our trade secrets, know-how and other intellectual property and internally developed information. However, we may fail to enter into such agreements with all of our employees, independent contractors, consultants, customers and other companies, and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w:t>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depend upon licenses from third parties for some of the technology and data used in the Privia Technology Solution. We expect that we may need to obtain additional licenses from third parties in the future inconnection with the development of our services. In addition, we obtain a portion of the data that we use from government entities, public records and from third parties for specific engagement and uses. We believe that we have all rights necessary to use the data that is incorporated into our services. We cannot, however, assure you that our licenses for information will allow us to use that information for all potential or contemplated applications. In addition, our ability to continue to offer integrated healthcare to our patients depends on maintaining our platform, which is partially populated with data disclosed to us by our partners with their consent. If these partners revoke their consent for us to maintain, use, de-identify and share this data, consistent with applicable law, our data assets could be degraded.</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Privia Physicians, Medical Groups, health system or hospital partners, patients, and commercial payer customers would be materially adversely impacted, which could have a material adverse effect on our business, financial condition and results of operations.</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also integrate into our internally developed applications and use third-party software to support our technology infrastructure. Some of this software is proprietary and some is open 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Our inability to obtain, maintain or comply with any of these licenses could delay development until equivalent technology can be identified, licensed and integrated, which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Most of our third-party licenses are non-exclusive and our competitors may obtain the right to use any of the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use open source software in connection with our technology-enabled platform, the Privia Technology Solution and our Privia operating model.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use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Any requirement to disclose our internally developed source code or pay damages for breach of contract could have a material adverse effect on our business, financial condition and results of operations and could help our competitors develop services that are similar to or better than ours.</w:t>
      </w:r>
    </w:p>
    <w:p>
      <w:pPr>
        <w:spacing w:after="0" w:line="1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commercialization of our services that contained the open source software, engaged in costly redesign efforts, and required to comply with onerous conditions or restrictions on these services, which could disrupt the distribution of services.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services. Some open source projects have known vulnerabilities and architectural instabilities and are provided on an “as-is” basis, which, if not properly addressed, could negatively affect the performance of our platform. If we inappropriately use or incorporate open source software subject to certain types of open source licenses that challenge the proprietary nature of our technology-enabled platform and service, we may be required to re-engineer our platform, discontinue the commercialization of our platform or take other remedial actions, any of which could adversely impact our business, financial condition and results of operations.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largely upon the continued services of our senior management team and other key employees. We rely on our leadership team in the areas of operations, provision of medical services, information technology and security, marketing, and general and administrative functions. From time to time, there may be changes to our management team resulting from the hiring or departure of executives or key employees, which could disrupt our business. Our employment agreements with our executive officers and other key personnel do not require them to continue to work for us for any specified period and, therefore, they could terminate their employment with us at any time. The loss of one or more of the members of our senior management team, or other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could harm our business. Changes in our executive management team may also cause disruptions in, and harm to,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Medical Groups are concentrated in Virginia, Maryland, the District of Columbia, Texas, Tennessee, Florida, and Georgia, and we may not be able to successfully establish a presence in new geographic markets.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substantial portion of our revenue is driven by our medical practices in Virginia, Maryland, the District of Columbia, Texas, Tennessee, Florida, and Georgia. As a result, our exposure to many of the risks described herein are not mitigated by a diversification of geographic focus. Furthermore, due to the concentration of our operations in these states, our business may be adversely affected by economic conditions, natural disasters, contagious disease outbreaks, including COVID-19, political unrest, and other conditions over which we have no control that disproportionately affect these states as compared to other states. Such conditions could adversely affect our operating results and disrupt the operation of our Medical Groups and Privia Providers.</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continue to expand our operations to other regions of the United States, we will have to devote resources to identifying and exploring such perceived opportunities. Thereafter, we will have to, among other things, recruit and retain qualified personnel, develop new Medical Groups and establish new relationships with physicians and other healthcare providers. In addition, we would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overall business results may suffer from an economic downturn.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periods of high unemployment, such as we are experiencing related to the COVID-19 pandemic, governmental entities often experience budget deficits as a result of increased costs and lower than expected tax collections. These budget deficits at federal, state and local government entities have decreased, and may continue to decrease, spending for federal health care programs, including Medicare, Medicaid and similar programs, which represent significant payer sources for our Medical Groups. Other risks we face during periods of high unemployment include potential declines in the patient base, potential increases in the uninsured and underinsured populations, which would negatively impact our payer mixes, a contracting of discretionary spending by our patient base, which could negatively affect demand for the services of our Privia Physicians, and further difficulties in our collecting patient co-payment and deductible receivables.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highly qualified personnel, including non-physician clinicians, in order to execute our growth plan.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Competition for highly qualified personnel with healthcare experience is intense. We and our Medical Groups have, from time to time, experienced, and we expect to continue to experience, difficulty in hiring and retaining employees with appropriate qualifications. Further, Privia Physicians may have similar difficulty in hiring and retaining support staff.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adversely affected. Further, such scarcity and demand can significantly drive up labor costs associated with hiring and retaining highly qualified personnel, which would negatively affect our results of operations, financial condition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our senior management and could divert their attention away from the day-to-day management of our business, which could adversely affect our business, results of operations and financial condition.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 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123"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If certain of our vendors do not meet our needs, if there are material price increases on vendor services and products, if we do not price our services correctly, if our Medical Groups are not reimbursed or adequately reimbursed for the costs of any vendor services or products borne by such Medical Groups, or if we are unable to effectively access new or replacement services or products, it could negatively impact our ability to effectively provide the services we offer and could have a material adverse effect on our business, results of operations, financial condition and cash flows.</w:t>
      </w:r>
    </w:p>
    <w:p>
      <w:pPr>
        <w:spacing w:after="0" w:line="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vendors that may be the sole or primary source of certain services, products or technology critical to the services either we or our Privia Providers furnish, or to which we have committed obligations to make purchases, sometimes at particular prices. If any of these vendors do not meet our needs for the services or products they supply, including in the event of a product recall, shortage or dispute, and we are not able to find adequate alternative sources, if we experience material price increases from these vendors that we are unable to mitigate, or if the costs of some of the products or services that we purchase are borne by our Medical Groups and such Medical Groups are not reimbursed or not adequately reimbursed for such products or services, it could have a material adverse impact on our business, results of operations, financial condition and cash flows. In addition, the technology related to the services or products critical to the services we provide is subject to new developments that may result in superior products. If we are not able to access new or replacement services or products on a cost-effective basis or if vendors are not able to fulfill our requirements for such services or products, or unable to scale as fast as our operations grow, we could face Privia Physician attrition and other negative consequences which could have a material adverse effect on our business, results of operations, financial condition and cash flows.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With respect to any Medicare Advantage plans with which our Medical Groups participate, our records and submissions to such plans may contain inaccurate or unsupportable information regarding risk adjustment scores of such plan’s enrollees, which could cause us to overstate or understate the average health care burden of such population, which could result in an incorrect statement of our revenue and could subject us and our Medical Groups to various penalties.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submit, on behalf of our participating Medical Groups, applicable Medicare Advantage plans, claims and encounter data that is used to establish the annual, average Medicare Risk Adjustment Factor, or RAF, scores attributable to the Medical Group’s plan enrollee population. These RAF scores determine, in part, the revenue to which the health plans and, in turn, our Medical Groups are entitled for the provision of medical care to such population. The data submitted to CMS by each health plan is based, in part, on medical charts and diagnosis codes that our Privia Providers prepare and we submit to the health plans. Each health plan generally relies on us and our Privia Providers to appropriately document and support such RAF data in our medical records. Each health plan also relies on us and our Privia Providers to appropriately code claims for medical services provided to members. Erroneous claims and erroneous encounter records and submissions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depending on its magnitude, could damage our relationship with the applicable health plan and could have a material adverse effect on our business, results of operations, financial condition and cash flows.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Additionally, CMS audits Medicare Advantage plans for documentation to support RAF-related payments for enrollees chosen at random. The Medicare Advantage plans ask providers to submit the underlying documentation for members that they serve. It is possible that claims associated with members with higher RAF scores could be subject to more scrutiny in a CMS or plan audit. There is a possibility that a Medicare Advantage plan may seek repayment from us, our ACOs, or our Medical Groups should CMS make any payment adjustments to the Medicare Advantage plan as a result of its audits. In 2018, the Department of Justice, or the DOJ, reached a $270 million settlement agreement with HealthCare Partners Holdings, LLC based upon the organization’s internal coding policies and provider education that resulted in the submission of inappropriate diagnosis codes, and the inappropriate capture of historical diagnoses both of which inflated the organization’s RAF scores and resulted in inflated payment rates. The DOJ alleged that such submissions constituted a civil False Claims Act violation.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can be no assurance that a Medicare Advantage plan in which our Medical Groups participate will not be randomly selected or targeted for review by CMS or that the outcome of such a review will not result in a material adjustment in our revenue and profitability, even if the information we submitted to the plan is accurate and supportable. Further, although we have built safeguards in our provider education efforts and unreported diagnoses review, there can be no assurance that the CMS, the DOJ, the OIG, or a whistleblower would not allege such action constitutes a civil False Claims Act violation or, if pursued that we could successfully defend against such allegation. In such event, even if we successfully defend against it, such an allegation could cause us to incur significant legal expenses, divert our management’s attention from the operation of our business and result in adverse publicity.</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our total addressable market, or TAM, are inaccurate, our future growth rate may be impacted and our business would be harmed.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 estimates and growth forecasts are subject to significant uncertainty and are based on assumptions and estimates that may not prove to be accurate. The estimates and forecasts in this prospectus relating to the size and expected growth of the TAM for available physicians with which our Medical Groups can affiliate may prove to be inaccurate. Even if the markets in which we compete meets our size estimates and forecasted growth, our business could fail to grow at similar rates, if at all.</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principal assumptions relating to our determination of the TAM includes determining the total number of physicians in the geographic market reduced by hospital employed physicians and other Privia Physicians in the market that are unlikely to change their existing relationships. This calculation may not take into account physicians who are not currently available because of an exclusive arrangement with an intermediary entity or because the physician is locked out of moving while awaiting payment pursuant to a VBC arrangement. In addition to a sufficiently large TAM to allow us to affiliate with a sufficiently large number of physicians to make the market economically viable, each market is evaluated to determine if there is sufficient reimbursement variation in fee schedules paid by commercial payers to physicians to create sufficient economic opportunity to allow such physicians to embrace our Privia operating model. Our targeted TAM is also based on the assumption that the strategic approach that our solution enables for potential Privia Physicians will be more attractive to our available physicians than many competing opportunities. If these assumptions prove inaccurate, our business, financial condition and results of operations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funds made available under the CARES Act by our Medical Groups and Privia Physicians’ Affiliated Practices could adversely affect our business.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have recovered patient volume losses that arose during the first wave of the COVID-19 pandemic and were able to mitigate some of our Privia Physicians’ revenue losses though the scaling of our proprietary telehealth solution to our Medical Groups, the full impact of the COVID-19 pandemic may not be fully reflected in our results of operations and overall financial condition until future periods. Further, some of our Privia Physicians and/or their Affiliated Practices may have outstanding loan obligations under the Paycheck Protection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implemented pursuant to the Coronavirus Aid, Relief, and Economic Security Act, or the CARES Act. Although we are not liable for such loan amounts, our Privia Physicians’ inability to either have such loan amounts forgiven or pay such loan amounts could negatively impact our business, including due to responding to Privia Physician bankruptcy filings and, potentially, federal seizure of assets, including federal health care program funds, which could include funds owing to us, such as management fees. Although our claims to such amounts may ultimately be released, the cost of collections could increase from our standard business model, which will negatively affect both our revenue and profits.</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the Paycheck Protection Program affiliation rules, none of our Owned Medical Groups (as opposed to our Privia Physicians’ Affiliated Practices) borrowed any amounts under the program. One of the Non-Owned Medical Groups did partake in the Paycheck Protection Program, but the outstanding balance has already been forgiven. Likewise, none of our Medical Groups partook of CMS’ Accelerated and Advance Payment Programs under the CARES Act. Each of our Medical Groups did, however, accept funds distributed by HHS under the Provider Relief Fund enacted as part of the CARES Act. Given that each of our Medical Groups received in excess of $10,000 under the Provider Relief Fund, each Medical Group is subject to HHS’ reporting requirements for the use of such funds in 2021. Two of our Owned Medical Groups are subject to heightened reporting requirements for providers receiving more than $500,000 from the Provider Relief Fund. Although none of the Owned Medical Groups have yet reported, given changes arising from The Consolidated Appropriations Act, 2021 and additional guidance issued by HHS, we believe the Owned Medical Groups have more than sufficient lost revenue when comparing 2020 actual patient care revenue to 2020 budgeted patient care revenue as well as Covid-related expenditures to offset such amounts. These two Owned Medical Groups will also be subject to Single Audit requirements, as set forth in the regulations at 45 C.F.R. §75.501, which will require the recipients to maintain appropriate records and cost documentation, and may be subject to additional audits by HHS, the OIG or the Pandemic Response Accountability Committee.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recipient identified as providing inaccurate information will be subject to recoupment and deliberate omission, misrepresentation or falsification of any information associated with such reporting may be punishable by criminal, civil or administrative penalties, including but not limited to revocation of Medicare billing privileges, exclusion from federal health care programs, and/or the imposition of fines, civil damages and/or imprisonment. The law relative to the Provider Relief Fund as well as guidance from HHS continues to evolve and we cannot say definitively whether the funds were appropriately utilized by the Owned Medical Groups until the reporting has been submitted and approved by HHS. In the event that such funds were used inappropriately or revenue losses were insufficient, it would be necessary to reimburse HHS for Provider Relief Funds received by our Owned Medical Groups, which would have a material adverse effect on our business, financial condition, and operations. Further, a failure to adequately report and maintain records related to the use of amounts from the Provider Relief Funds would likely have a materially adverse effect on our business, financial condition and the results of operations.</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the public health emergency for the COVID-19 pandemic continues, access to, and demand for, our services may be limited, which could adversely affect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Adverse market conditions resulting from the spread of COVID-19, including new variants, could materially adversely affect our business and the value of our common stock. We cannot predict how long the public health emergency for the COVID-19 pandemic will continue and the impact it may have on certain of our markets. Given recent and potential future increases in both positive test results and COVID-19 hospitalizations, it is possible that some state and local jurisdictions in our current markets may again impose “shelter-in-place” orders, quarantines, executive orders and similar government orders and restrictions for their residents to control the spread of COVID-19 or variants thereof. Such orders or restrictions have resulted in largely remote operations at our headquarters and reduced staffing and services at some of our Medical Groups and Privia Physicians’ Affiliated Practices, work stoppages and slowdowns among some of our vendors and suppliers, slowdowns and delays, travel restrictions and cancellation of elective procedures and reduction in our in-person sales activity, thereby significantly and potentially negatively impacting our operations. Other disruptions or potential disruptions include restrictions on the ability of our personnel to travel; inability of our suppliers to manufacture goods and to deliver these to us on a timely basis, or at all; inventory shortages or obsolescence; delays in actions of regulatory bodies; diversion of or limitations on employee resources that would otherwise be focused on the operations of our business, including because of sickness of employees or their families or the desire of employees to avoid contact with groups of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adjustments or disruptions of certain third parties; and additional government requirements or other incremental mitigation efforts. The extent to which the current wave, or subsequent waves, of the COVID-19 pandemic or the spread of variants impact our business will depend on future developments, which are highly uncertain and cannot be predicted, including new information which may emerge concerning the severity and spread of COVID-19 or variants, vaccination rates and the actions to contain the COVID-19 pandemic or treat its impact, among others. In addition, the COVID-19 virus disproportionately impacts older adults, especially those with chronic illnesses, which includes many of our patients, which could strain the resources of our physician’s practices.</w:t>
      </w:r>
    </w:p>
    <w:p>
      <w:pPr>
        <w:spacing w:after="0" w:line="1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Even without government restrictions on travel and our operations, patients may again become reluctant to seek necessary care given the risks of the COVID-19 pandemic. This could have the effect of reducing the revenue of our Medical Groups and our resulting management fees. Such reluctance may result in deferring necessary healthcare services that may adversely affect the health of such patients which may exacerbate health conditions and increase the cost of care in the future, which may adversely affect our VBC performance or divert patients from our Privia Physicians to more expensive and intense providers of services. Further, as a result of the COVID-19 pandemic, we may experience slowed growth or a decline in new patient demand. We also may experience increased internal and third-party medical costs as we provide care for patients suffering from COVID-19. In addition,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the COVID-19 pandemic worsens, especially in regions where we have offices or Medical Groups,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patient retention, any of which could harm our financial condition and business operations.</w:t>
      </w:r>
    </w:p>
    <w:p>
      <w:pPr>
        <w:spacing w:after="0" w:line="11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government restrictions in response to the COVID-19 pandemic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In addition, the COVID-19 pandemic has resulted in our employees and those of many of our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technology-enabled platform and business operations relies, could interrupt our ability to provide our technology-enabled platform, decrease the productivity of our workforce, and significantly harm our business operations, financial condition, and results of operations.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technology-enabled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technology-enabled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and supply chains, all of which are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 parties, or our ability to raise additional capital or generate sufficient cash flows necessary to fulfill our obligations under our existing indebtedness or to expand our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substantially comply with to all applicable federal and state healthcare laws including laws, regulations and agency guidance related to federal health care programs, we could suffer severe consequences that could have a material adverse effect on our business, results of operations, financial condition, cash flows, reputation and stock price.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discussed in “Risks Related to Our Business and Our Industry” our operations, financial relationships with our Owned Medical Groups and Privia Physicians’ Affiliated Practices, our financial relationships with Privia Physicians, our business structure, claim submission, coding, participation in the Medicare Shared Savings Program, provision of management services to our Owned Medical Groups and Privia Physicians’ Affiliated Practices, use and disclosure of PHI and PII, etc., are subject to extensive federal, state and local laws, regulations, and agency guidance.</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endeavor to comply with all such legal requirements. To assist with these efforts, we have developed and maintain a corporate compliance program applicable to all of our subsidiaries (except our ACOs, as explained herein), which was modeled off of the Federal Sentencing Guidelines and relevant guidance from the OIG. Additionally, we review and, if necessary, update the compliance program on at least an annual basis, mandate annual training for our employees, Privia Physicians and their staff members, we review on a monthly basis all of our employees and Privia Physicians against the applicable exclusion databases, we maintain an anonymous reporting mechanism for compliance concerns, we mandate adoption of a compliance program comparable to our program by all of our Privia Physicians’ Affiliated Practices, we have initiated annual vendor acknowledgement of their obligations under our compliance program, we have a chief compliance officer that reports to the Board, local and corporate level compliance committees, and we audit within 30 days of affiliation the accuracy of our Privia Physicians and other providers’ coding and documentation and, if they achieve the threshold accuracy standard, annually thereafter.</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utilize considerable internal and outside resources to monitor laws and regulations, review unique fact situations, and implement necessary changes to either our operations or compliance program. However, the laws and regulations in these areas are complex, changing and often subject to varying interpretations. As a result, there is no guarantee that we will be able to comply with all of the laws and regulations that apply to our business or that our compliance program will be found effective for purposes of mitigating potential penalties, and such failures could have a material adverse impact on our business, results of operations, financial condition, cash flows and reputation. For example, if an enforcement agency were to challenge the level of compensation that we pay physician affiliates or our business structure, we could be required to change our practices, face criminal or civil penalties, pay substantial fines or otherwise experience a material adverse impact on our business, results of operations, financial condition, cash flows and reputation as a result. Similarly, if we fail to report and return federal health care program overpayments within 60 days of when such overpayment is identified and quantified, we could face penalties pursuant to the civil False Claims Act. These obligations to report and return overpayments could subject our procedures for identifying and processing overpayments to greater scrutiny.</w:t>
      </w:r>
    </w:p>
    <w:p>
      <w:pPr>
        <w:spacing w:after="0" w:line="13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Further, regardless of our compliance efforts, we may in the future be subject to investigations and audits by state or federal health care programs and/or private civil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complaints filed by relators and other lawsuits, demands, claims and legal proceedings, including investigations or other actions resulting from our obligation to self-report suspected violations of law. Responding to subpoenas, investigations and other lawsuits, claims and legal proceedings as well as defending ourselves in such matters will continue to require management’s attention and cause us to incur significant legal expense. Negative findings or terms and conditions that we might agree to accept as part of a negotiated resolution of pending or future legal or regulatory matters could result in, among other things, substantial financial penalties or awards against us, substantial payments made by us, harm to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required changes to our business practices, exclusion from future participation in the Medicare, Medicaid and other federal health care programs and, in certain cases, criminal penalties, any of which could have a material adverse effect on us. It is possible that criminal proceedings may be initiated against us and/or individuals in our business in connection with investigations by the federal government.</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significantly harm our business.</w:t>
      </w:r>
    </w:p>
    <w:p>
      <w:pPr>
        <w:spacing w:after="0" w:line="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legal and contractual obligations regarding confidentiality and the protection and appropriate use of PII, PHI and other proprietary or confidential information. Data privacy has become a significant issue in the United States and around the world. The regulatory framework for privacy issues worldwide is rapidly evolving and is likely to remain uncertain for the foreseeable future. Many government bodies and agencies have adopted or are considering adopting laws and regulations regarding the collection, use, storage and disclosure of personal information and breach notification procedures. We are also required to comply with laws, rules and regulations relating to data security. Interpretation of these laws, rules and regulations and their application to our platform is ongoing and cannot be fully determined at this time. Complying with privacy and data protection laws and regulations may cause us to incur substantial operational costs or require us to change our business practices. For example, we may be, or may in the future become, subject to stringent and changing privacy laws and regulations including the General Data Protection Regulation, or GDPR. Despite our efforts to bring our operations into compliance with applicable laws and regulations, we may not be successful in our efforts to achieve compliance either due to internal or external factors such as resource allocation limitations or a lack of vendor cooperation. Non-compliance could result in proceedings against us by governmental and regulatory entities, customers, data subjects or others. In addition to government regulation, privacy advocates and industry groups may propose new and different self-regulatory standards that may apply to us. Because the interpretation and application of privacy and data protection laws are still uncertain, it is possible that these laws and other actual or alleged legal obligations, such as contractual or self-regulatory obligations, may be interpreted and applied in a manner that is inconsistent with our existing privacy and security practices or the features of our platform. If so, in addition to the possibility of fines, lawsuits and other claims, we could be required to fundamentally change our business activities and practices or modify our platform, which could have an adverse effect on our business. Any inability to adequately address privacy concerns, even if unfounded, or comply with applicable privacy or data protection laws, regulations and policies, could result in additional cost and liability to us, damage our reputation, inhibit sales and adversely affect our business, results of operations and financial condition.</w:t>
      </w:r>
    </w:p>
    <w:p>
      <w:pPr>
        <w:spacing w:after="0" w:line="3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publish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or vendors fail to comply with our published policies and documentation. Such failures can subject us to potential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use, disclosure, and other processing of personally identifiable information, including health information, is subject to HIPAA and other federal and state privacy and security regulations, and our failure to comply with those regulations or to adequately secure the information we hold could result in significant liability or reputational harm and, in turn, a material adverse effect on our patient base and revenue.</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HIPAA requires covered entities, such as us, our Owned or Non-Owned Medical Groups, and their business associates to develop and maintain policies and procedures with respect to PHI that is used or disclosed, including the adoption of administrative, physical and technical safeguards to protect such information. Our Medical Groups are all participants in an Affiliated Covered Entity under HIPAA, which allows us to share certain HIPAA compliance efforts but also provides for joint and several liability for HIPAA violations among all the participants in the Affiliated Covered Entity, which could result in the Office for Civil Rights, or OCR, imposing liability on one of our Owned Medical Groups and we would have to pursue contribution among the other members, which may be difficult to actually collect. HIPAA also implemented the use of standard transaction code sets and standard identifiers that covered entities must use when submitting or receiving certain electronic healthcare transactions, including activities associated with the billing and collection of healthcare claims. In addition to our status as a covered entity, our management services organizations and ACOs are “business associates” to our Medical Groups and ACO participants.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Penalties for violations of HIPAA and its implementing regulations start at $100 per violation and are not to exceed $50,000 per violation, subject to a cap of $1.5 million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 breach involves fewer than 500 people, the covered entity must record it in a log and notify HHS at least annually.</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Numerous other federal and state laws and regulations protect the confidentiality, privacy, availability, integrity and security of PHI and other types of PII. State statutes and regulations vary from state to state, and these laws and regulations in many cases are more restrictive than, HIPAA and its implementing rules. These laws and regulations are often uncertain, contradictory, and subject to changed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may afford private rights of action to individuals who believe their PII has been misused.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Further, any PHI or other PII residing with a Privia Physicians’ legacy practice entity pursuant to our Support Services Agreement with such entity may not be subject to adequate security and privacy measures, which may result in a breach of its Business Associate Agreement, or BAA, with the relevant covered entity. Although a business associate may be independently found liable for a breach of the privacy or security requirements of HIPAA, we could also be held liable for such breach as the covered entity. If we or any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2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publish statements to our patients and partners that describe how we use and disclose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 Any of the foregoing consequences could have a material adverse impact on our business and our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government regulations may increase costs or negatively impact our results of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regulatory climate that is uncertain, our business and operations may be subject to direct and indirect adoption, expansion or reinterpretation of various healthcare laws and regulations. Compliance with these future laws and regulations may require us to change our business practices at an undeterminable and possibly significant initial and recurring monetary expense. These additional monetary expenditures may increase future overhead, which could harm our results of operations.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identified what we believe are areas of government regulation that, if changed, could be costly to us. These include: fraud, waste and abuse laws; rules governing the practice of medicine by providers; licensure standards for doctors and behavioral health professionals; laws regulating the corporate practice of medicine could restrict the manner in which we are permitted to conduct our business, and the failure to comply with such laws could subject us to penalties or require a restructuring of our business and professional fee splitting; federal and state antitrust laws; state insurance laws and regulations regarding the assumption of risks by providers; cybersecurity and privacy laws; and tax and other laws encouraging employer-sponsored health insurance and group benefits. There could be laws and regulations applicable to our business that we have not identified or that, if changed, may be costly to us, and we cannot predict all the ways in which implementation of such laws and regulations may affect us.</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jurisdictions in which we operate, we believe we are in substantial compliance with all applicable laws, but, due to the uncertain regulatory environment, certain jurisdictions may determine that we are in violation of their laws. In the event that we must remedy such violations, we may be required to modify our business operations and services in a manner that undermines our business operations’ or services’ attractiveness to our Privia Physicians, potential new physicians, health system partners, payers and patients, we may become subject to fines or other penalties or, if we determine that the requirements to operate in compliance in such jurisdictions are overly burdensome, we may elect to terminate our operations in such places. In each case, our revenue may decline and our business may be harmed.</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business operations or services from being offered to Privia Physicians, certain commercial payers and/or patients, which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NOLs to offset future taxable income or taxes. A Code Section 382 ownership change generally occurs if one or more stockholders or groups of stockholders who own at least 5% of a corporation’s stock increase their ownership by more than 50 percentage points over their lowest ownership percentage within a rolling three-year period. Similar rules may apply under state tax laws. As of December 31, 2020, we had approximately $39.5 million of federal and $29.6 million of state (post-apportioned state NOL) NOL carryforwards. The federal NOL carryforwards for years before 2018 begin to expire in 2034 and the state NOL carryforwards begin to expire in 2034. Changes in the ownership of our stock in the future, including as a result of this offering or future offerings, and some of which are outside of our control, could result in an ownership change under Section 382 of the Code (or applicable state law) after such date, which could significantly limit our ability to utilize our existing and future NOL carryforwards arising at any time prior to such ownership change.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As a result of being a public company, we are obligated to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required by Section 404 of the Sarbanes-Oxley Act to furnish a report by management on, among other things, the effectiveness of our internal control over financial reporting in our second annual report following the completion of this offering. The process of designing and implementing internal control over financial reporting required to comply with this requirement will be time-consuming, costly and complicated. If during the evaluation and testing process we identify one or more other material weaknesses in our internal control over financial reporting or determine that existing material weaknesses have not been remediated, our management will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 over financial reporting pursuant to Section 404 of the Sarbanes-Oxley Act until the later of the filing of our second annual report following the completion of this offering or the date we are no longer an “emerging growth company,” as defined in the JOBS Act. Accordingly, you will not be able to depend on any attestation concerning our internal control over financial reporting from our independent registered public accountants for the foreseeable future.</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be required to incur costs in improving our internal control system and the hiring of additional personnel. Any such action could negatively affect our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September 30, 2021, the Company had $33.5 million in principal amount outstanding under our Term Loan Facility.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indebtedness and the cash flow needed to satisfy our debt have important consequences, including:</w:t>
      </w:r>
    </w:p>
    <w:p>
      <w:pPr>
        <w:spacing w:after="0" w:line="171" w:lineRule="exact"/>
        <w:rPr>
          <w:sz w:val="20"/>
          <w:szCs w:val="20"/>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refinance our indebtedness.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need to refinance all or a portion of our indebtedness before maturity. We cannot assure you that we will be able to refinance any of our indebtedness on commercially reasonable terms or at all. There can be no assurance that we will be able to obtain sufficient funds to enable us to repay or refinance our debt obligations on commercially reasonable terms, or at all.</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of our Credit Agreement restrict our current and future operations, particularly our ability to respond to changes or to take certain actions.</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1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read the discussion under the heading “Description of Certain Indebtedness” for further information about these covenants.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restrictive covenants in the Credit Agreement require us to satisfy certain financial condition tests. Our ability to satisfy those tests can be affected by events beyond our control.</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breach of the covenants or restrictions under the Credit Agreement could result in an event of default under such document. Such a default may allow the creditors to accelerate the related debt, which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13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restrict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13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and enhance our patient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 to expand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if we issue additional equity to raise capital, your interest in us will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Lead Sponsors have significant influence on us, and their interests may conflict with ours or yours in the future.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Investment entities affiliated with Goldman Sachs (collectively, “Goldman Sachs”) and Pamplona Capital Management LLP (“Pamplona” and, together with Goldman Sachs, the “Lead Sponsors”) will be selling shares as part of this offering and, immediately following the offering, will beneficially own or control approximately 26.4% and 18.9%, respectively, of our common stock, or 26.1% and 18.6% if the underwriters exercise in full their option to purchase additional shares, which means that, based on their combined percentage voting power held after the offering, the Lead Sponsors together will continue to have significant influence over the vote of all matters submitted to a vote of our shareholders. For so long as the Lead Sponsors continue to own a significant percentage of our stock, the Lead Sponsors will still be able to significantly influence the composition of our Board and the approval of actions requiring shareholder approval. Accordingly, for such period, the Lead Sponsors will have significant influence with respect to our management, business plans and policies, including the appointment and removal of our officers, decisions on whether to raise future capital and amending our amended and restated charter and amended and restated bylaws, which govern the rights attached to our common stock. In particular, for so long as the Lead Sponsors continue to own a significant percentage of our stock, the Lead Sponsors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1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connection with our initial public offering, we entered into a Shareholder Rights Agreement (defined herein) that provides each Lead Sponsor the right to designate: (i) three of the nominees for election to our Board for so long as each beneficially owns at least 15% of our common stock then outstanding; (ii) two of the nominees for election to our Board for so long as each beneficially owns less than 15% but at least 10% of our common stock then outstanding; and (iii) one of the nominees for election to our Board for so long as each beneficially owns less than 10% but at least 5% of our common stock then outstanding. The Lead Sponsors may also assign such right to their affiliates. The Shareholder Rights Agreement will also prohibit us from increasing or decreasing the size of our Board without the prior written consent of the Lead Sponsors. In addition, for so long as either Lead Sponsor owns at least 15% of the common stock, its consent will be required for certain corporate actions, including a change of control; acquisitions or dispositions of assets in an amount exceeding 15% of our total assets; the issuance of equity by us or any of our subsidiaries (other than under equity incentive plans that have received the prior approval of our board of directors) in an amount exceeding $50 million; the incurrence of indebtedness by us or any of our subsidiaries in an amount exceeding $50 million; amendments to our amended and restated certificate of incorporation or amended and restated bylaws; changes to our strategic direction or scope of its business; any change in the size of our board of directors; the hiring or termination of the Chief Executive Officer, Chief Financial Officer and Chief Operational Officer; and approval of our annual budget. See “Certain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Related Party Transactions—Shareholder Rights Agreement” for more details with respect to the Shareholder Rights Agreement.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Lead Sponsors and their affiliates engage in a broad spectrum of activities, including investments in the healthcare industry generally. In the ordinary course of their business activities, the Lead Sponsors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amended and restated certificate of incorporation provide that none of the Lead Sponsors,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Lead Sponsors also may pursue acquisition opportunities that may be complementary to our business, and, as a result, those acquisition opportunities may not be available to us. In addition, the Lead Sponsors may have an interest in pursuing acquisitions, divestitures and other transactions that, in its judgment, could enhance its investment, even though such transactions might involve risks to you.</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expect to elect to comply with reduced public company reporting requirements, which could make our common stock less attractive to investors.</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(iv) not being required to provide audited financial statements for the year ended December 31, 2018, or five years of Selected Consolidated Financial Data in this prospectus and (v) an extended transition period to comply with new or revised accounting standards applicable to public companies. We could be an emerging growth company for up to five years after the first sale of our common stock pursuant to an effective registration statement under the Securities Act, which fifth anniversary will occur in 2026. If, however, certain events occur prior to the end of such five-year period, including if we become a “large accelerated filer,” our annual gross revenue exceeds $1.07 billion or we issue more than $1.0 billion of non- convertible debt in any three-year period, we would cease to be an emerging growth company prior to the end of such five-year period. We have made certain elections with regard to the reduced disclosure obligations regarding executive compensation in this prospectus and may elect to take advantage of other reduced disclosure obligations in future filings. In addition, we will choose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public company, we incur legal, accounting and other expenses that we did not previously incur as a privately held company. We are subject to the reporting requirements of the Securities Exchange Act of 1934, as amended (the “Exchange Act”) and certain requirements under the Sarbanes-Oxley Act, the listing requirements of NASDAQ and other applicable securities rules and regulations. Compliance with these rules and regulations have increased our legal and financial compliance costs, made some activities more difficult, time-consuming or costly and increased demand on our systems and resources. We will continue to experience such increased costs and challenges particularly after we are no longer an “emerging growth company.” The Exchange Act requires that we file annual, quarterly and current reports with respect to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 party to acquire us, even if doing so might be beneficial to our shareholders. Among other things, these provisions: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 from and after the date on which the Lead Sponsors beneficially own, in the aggregate, less than 25% of our common stock then outstanding;</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prohibit shareholder action by written consent and shareholder special meetings as well as permit removal of directors only for cause from and after the date on which the Lead Sponsors beneficially own, in the aggregate, less than 25% of our common stock then outstanding;</w:t>
      </w:r>
    </w:p>
    <w:p>
      <w:pPr>
        <w:spacing w:after="0" w:line="92"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any amendment, alteration, rescission or repeal of our amended and restated bylaws by our shareholders will require the affirmative vote of the holders of at least 66.6% in voting power of all the then-outstanding shares of our stock entitled to vote thereon, voting together as a single class, from and after the date on which the Lead Sponsors beneficially own, in the aggregate, less than 25% of our common stock then outstanding; and</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shareholders at shareholder meetings, provided, however, that at any time when a Lead Sponsor beneficially owns, in the aggregate, at least 25% of our common stock then outstanding, such advance notice procedure will not apply to that Lead Sponsor.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contains a provision that provides us, from and after the date on which the Lead Sponsors beneficially own, in the aggregate, less than 25% of our common stock then outstanding, with protections similar to Section 203 of the DGCL, and will prevent us from engaging in a business combination with a person (excluding the Lead Sponsors and any of their direct or indirect transferees and 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to which such persons are a party), unless board or shareholder approval is obtained prior to the acquisition. See “Description of Capital Stock—Anti-Takeover Effects of Our Amended and Restated Certificate of Incorporation and Amended and Restated Our Bylaws.”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these and other provisions, see “Description of Capital Stock.”</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exclusive forum for certain litigation that may be initiated by our shareholders, which may limit our shareholders’ ability to obtain a favorable judicial forum for disputes with us.</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our amended and restated certificate of incorporation, unless we consent in writing to the selection of an alternative forum, the Court of Chancery of the State of Delaware is the sole and exclusive forum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 See “Description of Capital Stock—Exclusive Forum.” The forum selection clause in our amended and restated certificate of incorporation may have the effect of discouraging lawsuits against us or our directors and officers and may limit our shareholders’ ability to obtain a favorable judicial forum for disputes with us.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results and stock price may be volatile, and the market price of our common stock after this offering may drop below the price you pay.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13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our industry or the broader stock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of new solutions or services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investors’ perception of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events beyond our control such as weather and war;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default on our indebtedness.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the trading market for our shares may be subject to increased volatility.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Following the consummation of this offering, certain parties will be subject to a 90-day lock-up period provided under lock-up agreements executed in connection with this offering described in “Underwriting (Conflicts of Interest)” and restricted from immediate resale under the federal securities laws as described in “Shares Eligible for Future Sale” in addition to any separate lock-up restrictions imposed in connection with our initial public offering. All of these shares will, however, be able to be resold after the expiration of the lock-up period, as well as pursuant to customary exceptions thereto or upon the waiver of the lock-up agreement by on behalf of the underwriters. We also intend to register shares of common stock that we may issue under our equity compensation plans. Once we register these shares, they can be freely sold in the public market upon issuance, subject to the lock-up agreements. As restrictions on resale end, the market price of our stock could decline if the holders of currently restricted shares sell them or are perceived by the market as intending to sell them.</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do not anticipate paying any regular cash dividends on our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“Dividend Policy”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continue to publish research or reports about our business, if they adversely change their recommendations regarding our shares or if our results of operations do not meet their expectations, our stock price and trading volume could decline.</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trading market for our shares will be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made statements under the captions “Prospectus Summary,” “Risk Factors,” “Management’s Discussion and Analysis of Financial Condition and Results of Operations,” “Business” and in other sections of this prospectus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You should specifically consider the numerous risks outlined under “Risk Factors.” These risks and uncertainties include factors related to:</w:t>
      </w:r>
    </w:p>
    <w:p>
      <w:pPr>
        <w:spacing w:after="0" w:line="112" w:lineRule="exact"/>
        <w:rPr>
          <w:sz w:val="20"/>
          <w:szCs w:val="20"/>
          <w:color w:val="auto"/>
        </w:rPr>
      </w:pPr>
    </w:p>
    <w:p>
      <w:pPr>
        <w:ind w:left="660" w:right="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heavily regulated industry in which we operate, and if we fail to comply with applicable healthcare laws and government regulations, we could incur financial penalties and become excluded from participating in government health care programs;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relationships with Medical Groups, some of which we do not own;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growth strategy, which may not prove viable and we may not realize expected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implementing the Privia Technology Solution for Privia Physicians and new Medical Groups;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high level of competition in our industry and our failure to compete and innovate;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challenges in successfully establishing a presence in new geographic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our EMR vendor, athenahealth, Inc., which the Privia Technology Solution is integrated and built upon;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the payer mix of patients and potential decreases in our reimbursement rates as a result of consolidation among commercial payers; and</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use, disclosure, and other processing of personally identifiable information, including health information, is subject to HIPAA and other federal and state privacy and security regulations.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You should read this prospectus and the documents referenced in this prospectus and related exhibits in their entirety with the understanding that our actual future results, activity, and performance may differ from expectations.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0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proceeds from the sale of shares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40" w:right="1440" w:bottom="1440" w:gutter="0" w:footer="0" w:header="0"/>
        </w:sectPr>
      </w:pPr>
    </w:p>
    <w:bookmarkStart w:id="74" w:name="page75"/>
    <w:bookmarkEnd w:id="74"/>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derived the condensed consolidated statement of operations data for the nine months ended September 30, 2021, and 2020 and our condensed consolidated balance sheet data as of September 30, 2021 from our unaudited condensed consolidated financial statements appearing at the end of this prospectus. We derived the consolidated statement of operations data for the years ended December 31, 2020, 2019, and 2018 and our consolidated balance sheet data as of December 31, 2020 and 2019 from our audited consolidated financial statements appearing at the end of this prospectus. Our historical results are not necessarily indicative of the results that should be expected in the future. The results of operations for the nine months ended September 30, 2021, are not indicative of the results to be expected for the full fiscal year ending December 31, 2021. In the opinion of management, all adjustments (consisting of only normal and recurring adjustments) considered necessary for a fair statement have been included.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right"/>
              <w:ind w:right="230"/>
              <w:spacing w:after="0"/>
              <w:rPr>
                <w:sz w:val="20"/>
                <w:szCs w:val="20"/>
                <w:color w:val="auto"/>
              </w:rPr>
            </w:pPr>
            <w:r>
              <w:rPr>
                <w:rFonts w:ascii="Arial" w:cs="Arial" w:eastAsia="Arial" w:hAnsi="Arial"/>
                <w:sz w:val="14"/>
                <w:szCs w:val="14"/>
                <w:b w:val="1"/>
                <w:bCs w:val="1"/>
                <w:color w:val="auto"/>
                <w:w w:val="93"/>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1"/>
        </w:trPr>
        <w:tc>
          <w:tcPr>
            <w:tcW w:w="36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(Amounts in thousands, except share and per share data)</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690,887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603,376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786,360</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657,609</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Physician and practice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622,632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527,923</w:t>
            </w: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Cost of platform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131,007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105,006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95,256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216,563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582,158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791,695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770,298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655,454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156"/>
        </w:trPr>
        <w:tc>
          <w:tcPr>
            <w:tcW w:w="3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(Loss) income before (benefit from) provision for</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(198,974)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19,738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9,152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Less: Loss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155"/>
        </w:trPr>
        <w:tc>
          <w:tcPr>
            <w:tcW w:w="3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(loss) income attributable to Privia Health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(176,251)</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27,380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3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8,244</w:t>
            </w:r>
          </w:p>
        </w:tc>
        <w:tc>
          <w:tcPr>
            <w:tcW w:w="420" w:type="dxa"/>
            <w:vAlign w:val="bottom"/>
            <w:gridSpan w:val="3"/>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Group, Inc.</w:t>
            </w:r>
          </w:p>
        </w:tc>
        <w:tc>
          <w:tcPr>
            <w:tcW w:w="1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Net (loss) income per share attributable to Privia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180"/>
              <w:spacing w:after="0" w:line="176" w:lineRule="exact"/>
              <w:rPr>
                <w:sz w:val="20"/>
                <w:szCs w:val="20"/>
                <w:color w:val="auto"/>
              </w:rPr>
            </w:pPr>
            <w:r>
              <w:rPr>
                <w:rFonts w:ascii="Arial" w:cs="Arial" w:eastAsia="Arial" w:hAnsi="Arial"/>
                <w:sz w:val="18"/>
                <w:szCs w:val="18"/>
                <w:color w:val="auto"/>
                <w:w w:val="99"/>
              </w:rPr>
              <w:t>Health Group, Inc. stockholders – basic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0.29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spacing w:after="0"/>
              <w:rPr>
                <w:sz w:val="20"/>
                <w:szCs w:val="20"/>
                <w:color w:val="auto"/>
              </w:rPr>
            </w:pPr>
            <w:r>
              <w:rPr>
                <w:rFonts w:ascii="Arial" w:cs="Arial" w:eastAsia="Arial" w:hAnsi="Arial"/>
                <w:sz w:val="18"/>
                <w:szCs w:val="18"/>
                <w:color w:val="auto"/>
              </w:rPr>
              <w:t>0.33</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0.09</w:t>
            </w:r>
          </w:p>
        </w:tc>
        <w:tc>
          <w:tcPr>
            <w:tcW w:w="42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1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common shares outstanding –</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101,576,775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95,945,804</w:t>
            </w:r>
          </w:p>
        </w:tc>
        <w:tc>
          <w:tcPr>
            <w:tcW w:w="10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95,950,062</w:t>
            </w:r>
          </w:p>
        </w:tc>
        <w:tc>
          <w:tcPr>
            <w:tcW w:w="100" w:type="dxa"/>
            <w:vAlign w:val="bottom"/>
            <w:vMerge w:val="restart"/>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95,931,549</w:t>
            </w:r>
          </w:p>
        </w:tc>
        <w:tc>
          <w:tcPr>
            <w:tcW w:w="2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95,880,506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362,112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270,205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center"/>
              <w:ind w:right="13"/>
              <w:spacing w:after="0"/>
              <w:rPr>
                <w:sz w:val="20"/>
                <w:szCs w:val="20"/>
                <w:color w:val="auto"/>
              </w:rPr>
            </w:pPr>
            <w:r>
              <w:rPr>
                <w:rFonts w:ascii="Arial" w:cs="Arial" w:eastAsia="Arial" w:hAnsi="Arial"/>
                <w:sz w:val="18"/>
                <w:szCs w:val="18"/>
                <w:color w:val="auto"/>
                <w:w w:val="89"/>
              </w:rPr>
              <w:t>227,066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185,317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162,749</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3"/>
              </w:rPr>
              <w:t>(196,129)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(19,878)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(51,122)</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center"/>
              <w:ind w:right="13"/>
              <w:spacing w:after="0"/>
              <w:rPr>
                <w:sz w:val="20"/>
                <w:szCs w:val="20"/>
                <w:color w:val="auto"/>
              </w:rPr>
            </w:pPr>
            <w:r>
              <w:rPr>
                <w:rFonts w:ascii="Arial" w:cs="Arial" w:eastAsia="Arial" w:hAnsi="Arial"/>
                <w:sz w:val="18"/>
                <w:szCs w:val="18"/>
                <w:color w:val="auto"/>
                <w:w w:val="89"/>
              </w:rPr>
              <w:t>404,995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143,652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107,456</w:t>
            </w:r>
          </w:p>
        </w:tc>
      </w:tr>
      <w:tr>
        <w:trPr>
          <w:trHeight w:val="472"/>
        </w:trPr>
        <w:tc>
          <w:tcPr>
            <w:tcW w:w="36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36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Key Metrics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(amounts in thousands, except provider data)</w:t>
            </w: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Implemented Providers (as of end of period)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Attributed Lives (as of end of period)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3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Practice Collections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1,301,074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930,413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55"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Nine Months Ended September 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for percentages)</w:t>
            </w: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24"/>
        </w:trPr>
        <w:tc>
          <w:tcPr>
            <w:tcW w:w="33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Care Margin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136,317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187,588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129,686</w:t>
            </w:r>
          </w:p>
        </w:tc>
      </w:tr>
      <w:tr>
        <w:trPr>
          <w:trHeight w:val="229"/>
        </w:trPr>
        <w:tc>
          <w:tcPr>
            <w:tcW w:w="3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Platform Contribution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79,762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59,184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82,582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68,472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56,459</w:t>
            </w:r>
          </w:p>
        </w:tc>
      </w:tr>
      <w:tr>
        <w:trPr>
          <w:trHeight w:val="230"/>
        </w:trPr>
        <w:tc>
          <w:tcPr>
            <w:tcW w:w="3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Platform Contribution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43.5 %</w:t>
            </w:r>
          </w:p>
        </w:tc>
      </w:tr>
      <w:tr>
        <w:trPr>
          <w:trHeight w:val="230"/>
        </w:trPr>
        <w:tc>
          <w:tcPr>
            <w:tcW w:w="3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33,851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23,202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29,372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18,126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8,931</w:t>
            </w:r>
          </w:p>
        </w:tc>
      </w:tr>
      <w:tr>
        <w:trPr>
          <w:trHeight w:val="230"/>
        </w:trPr>
        <w:tc>
          <w:tcPr>
            <w:tcW w:w="3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4"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addition to our financial results determined in accordance with GAAP, we have disclosed care margin, platform contribution, platform contribution margin, adjusted EBITDA and adjusted EBITDA margin, which are non-GAAP financial measures. See “Non-GAAP Financial Measures” for a reconciliation from operating income, the most directly comparable GAAP financial measure, to care margin, for a reconciliation from operating income, the most directly comparable GAAP financial measure, to platform contribution, and a reconciliation from net (loss) income attributable to Privia Health Group, Inc. and subsidiaries, the most directly comparable GAAP financial measure, to adjusted EBITDA, as well as a discussion about the limitations of care margin, platform contribution, platform contribution margin, adjusted EBITDA and adjusted EBITDA margin.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our financial results determined in accordance with GAAP, we believe care margin, platform contribution, platform contribution margin, adjusted EBITDA and adjusted EBITDA margin are useful as non-GAAP measures to investors as these are metrics used by management in evaluating our operating performance and in assessing the health of our business. We use care margin, platform contribution, platform contribution margin, adjusted EBITDA and adjusted EBITDA margin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Care Margin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care margin as total revenue less the sum of physician and practice expense.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by our practices.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 The following table provides a reconciliation of operating income, the most closely comparable GAAP financial measure, to care margin.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37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51"/>
        </w:trPr>
        <w:tc>
          <w:tcPr>
            <w:tcW w:w="370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41,497</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11,737</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73,227</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care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129,686</w:t>
            </w: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Platform Contribution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Platform Contribution as total revenue less the sum of (i) physician and practice expense, (ii) cost of platform and (iii) stock-based compensation expense included in cost of platform. We consider platform contribution to be an important measure to monitor our performance, specific to pricing of our services, direct costs of delivering care, and cost of our technology-enabled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provider revenue economics over time as well as our ability to generate operating leverage on our in-market infrastructure costs. We define platform contribution margin as platform contribution divided by care margin.</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our financial results determined in accordance with GAAP, we believe platform contribution, a non-GAAP measure, is useful in evaluating our operating performance. We use platform contribution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platform contribution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provides a reconciliation of operating income, the most closely comparable GAAP financial measure, to platform contribution: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37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44"/>
        </w:trPr>
        <w:tc>
          <w:tcPr>
            <w:tcW w:w="370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44"/>
        </w:trPr>
        <w:tc>
          <w:tcPr>
            <w:tcW w:w="3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(198,089)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25,380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16,062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41,497</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r>
      <w:tr>
        <w:trPr>
          <w:trHeight w:val="230"/>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platform contribution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80" w:hanging="172"/>
        <w:spacing w:after="0" w:line="212" w:lineRule="auto"/>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3"/>
          <w:szCs w:val="13"/>
          <w:color w:val="auto"/>
        </w:rPr>
        <w:t>Amount represents stock-based compensation expense included under Cost of Platform</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define adjusted EBITDA as net (loss) income attributable to Privia Health Group, Inc. shareholders and subsidiaries excluding minority interests, (benefit from) provision for income taxes, interest income, interest expense, depreciation and amortization, stock-based compensation, severance charges and other non-recurring expenses. We included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In addition, adjusted EBITDA has limitations as an analytical tool including: (i) adjusted EBITDA does not include the dilution that results from stock-based compensation or any cash outflows included in stock-based compensation, including from our purchases of shares of outstanding common stock, and (ii) adjusted EBITDA does not reflect interest expense on our debt or the cash requirements necessary to service interest or principal payments. We define adjusted EBITDA margin as adjusted EBITDA divided by care margin.</w:t>
      </w:r>
    </w:p>
    <w:p>
      <w:pPr>
        <w:spacing w:after="0" w:line="1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net (loss) income attributable to Privia Health Group, Inc. and subsidiaries, the most closely comparable GAAP financial measure, to Adjusted EBITDA: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37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(in thousands)</w:t>
            </w: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w w:val="97"/>
              </w:rPr>
              <w:t>Net loss attributable to non-controlling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Severance costs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r>
      <w:tr>
        <w:trPr>
          <w:trHeight w:val="230"/>
        </w:trPr>
        <w:tc>
          <w:tcPr>
            <w:tcW w:w="3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Of the 3,202,435 non-cash stock options that were granted in 2019, 227,600 options relate to reissuing of options that were cancelled in 2019. These options were considered to be modified in accordance with ASC 718. Of the 14,202,635 non-cash stock options that were granted in 2018, 2,087,359 options relate to reissuing of options that were cancelled in 2018. These options were considered to be modified in accordance with ASC 718.</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Severance costs relate to employee-related expenses for certain former Company executives that were due severance based on their agreements when they left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expenses relate to the amortization of certain non-cash related expenses, nonrecurring costs and transaction expenses associated with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Historical Consolidated Financial Data” and our consolidated financial statements and related notes included elsewhere in this prospectus. In addition to historical consolidated financial information, the following discussion and analysis and information contains forward-looking statements that involve risks, uncertainties and assumptions. Our actual results could differ materially from those anticipated by these forward-looking statements as a result of many factors. Factors that could cause or contribute to such differences include, but are not limited to, those identified below and those discussed in the sections titled “Risk Factors” and “Information Regarding Forward-Looking Statements” included elsewhere in this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our Privia Providers joining our Medical Groups. Our Medical Groups are designated as in-network by all major health insurance plans in all of our markets, and all Privia Providers are credentialed with such health insurance plans.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platform is purpose-built, organizing physicians into cost efficient, value-based and primary-care centric networks bolstered by strong physician governance, and promotes a culture of physician leadership. The Privia Platform is powered by the Privia Technology Solution, which efficiently manages all aspects of our Privia Physicians’ provision of healthcare services and eliminates the complexity and reduces the cost of otherwise having to buy more than 30 point solutions. We enhance the patient experience, improve practice economics and influence point of care delivery through investments in data analytics, RCM, practice and clinical operations and payer alignment. The Privia Platform is designed to succeed across demographic cohorts, acuity levels and reimbursement models, including traditional FFS Medicare,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has rapidly become one of the nation’s leading independent physician companies since launching our first Medical Group in 2013.</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71" w:lineRule="exact"/>
        <w:rPr>
          <w:sz w:val="20"/>
          <w:szCs w:val="20"/>
          <w:color w:val="auto"/>
        </w:rPr>
      </w:pPr>
    </w:p>
    <w:p>
      <w:pPr>
        <w:ind w:left="660" w:hanging="328"/>
        <w:spacing w:after="0" w:line="277"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116" w:lineRule="exact"/>
        <w:rPr>
          <w:rFonts w:ascii="Arial" w:cs="Arial" w:eastAsia="Arial" w:hAnsi="Arial"/>
          <w:sz w:val="18"/>
          <w:szCs w:val="18"/>
          <w:color w:val="auto"/>
        </w:rPr>
      </w:pPr>
    </w:p>
    <w:p>
      <w:pPr>
        <w:ind w:left="660" w:hanging="328"/>
        <w:spacing w:after="0" w:line="277"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Privia Platform is powered by the Privia Technology Solution, which efficiently manages all aspects of our Privia Physicians’ practices and eliminates the complexity and reduces the cost of otherwise having to buy more than 30 point solutions. The intended result is engaged physicians and non-physician clinicians delivering high quality virtual and in-person healthcare to patients with superior clinical outcomes and experiences at lower costs. We believe our technology-enabled platform is highly scalable, allowing us to both rapidly build density in new geographic markets and guide those markets from FFS to VBC by shifting the reimbursement model and helping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multiple types of physician practices given our significant value proposition and our comprehensive solution set.</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112" w:lineRule="exact"/>
        <w:rPr>
          <w:sz w:val="20"/>
          <w:szCs w:val="20"/>
          <w:color w:val="auto"/>
        </w:rPr>
      </w:pPr>
    </w:p>
    <w:p>
      <w:pPr>
        <w:ind w:left="660" w:hanging="328"/>
        <w:spacing w:after="0" w:line="28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w:t>
      </w:r>
      <w:r>
        <w:rPr>
          <w:rFonts w:ascii="Arial" w:cs="Arial" w:eastAsia="Arial" w:hAnsi="Arial"/>
          <w:sz w:val="18"/>
          <w:szCs w:val="18"/>
          <w:color w:val="auto"/>
        </w:rPr>
        <w:t>Targets a large and growing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 market estimated to be $1.9 trillion,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an ability to serve over 1 million providers in the U.S.).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 primary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care physicians and more than 535,000 physician specialists in the U.S.).</w:t>
      </w:r>
    </w:p>
    <w:p>
      <w:pPr>
        <w:spacing w:after="0" w:line="107" w:lineRule="exact"/>
        <w:rPr>
          <w:rFonts w:ascii="Arial" w:cs="Arial" w:eastAsia="Arial" w:hAnsi="Arial"/>
          <w:sz w:val="18"/>
          <w:szCs w:val="18"/>
          <w:color w:val="auto"/>
        </w:rPr>
      </w:pPr>
    </w:p>
    <w:p>
      <w:pPr>
        <w:jc w:val="both"/>
        <w:ind w:left="660" w:right="20" w:hanging="328"/>
        <w:spacing w:after="0" w:line="26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the full continuum of reimbursement environments as well as both virtual and in-person care settings </w:t>
      </w:r>
      <w:r>
        <w:rPr>
          <w:rFonts w:ascii="Arial" w:cs="Arial" w:eastAsia="Arial" w:hAnsi="Arial"/>
          <w:sz w:val="18"/>
          <w:szCs w:val="18"/>
          <w:i w:val="1"/>
          <w:iCs w:val="1"/>
          <w:color w:val="auto"/>
        </w:rPr>
        <w:t>(eliminates the need to buy and</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 more than 30 point solutions).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 patients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(over 850 care center locations across seven states and the District of Columbia, targeting over 100 MPSAs located within those geographical markets).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 the care model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of Privia Providers to manage higher risk patients </w:t>
      </w:r>
      <w:r>
        <w:rPr>
          <w:rFonts w:ascii="Arial" w:cs="Arial" w:eastAsia="Arial" w:hAnsi="Arial"/>
          <w:sz w:val="18"/>
          <w:szCs w:val="18"/>
          <w:i w:val="1"/>
          <w:iCs w:val="1"/>
          <w:color w:val="auto"/>
        </w:rPr>
        <w:t>(more than $575 million total savings generated across Commercial, Medicare</w:t>
      </w:r>
      <w:r>
        <w:rPr>
          <w:rFonts w:ascii="Arial" w:cs="Arial" w:eastAsia="Arial" w:hAnsi="Arial"/>
          <w:sz w:val="18"/>
          <w:szCs w:val="18"/>
          <w:color w:val="auto"/>
        </w:rPr>
        <w:t xml:space="preserve"> </w:t>
      </w:r>
      <w:r>
        <w:rPr>
          <w:rFonts w:ascii="Arial" w:cs="Arial" w:eastAsia="Arial" w:hAnsi="Arial"/>
          <w:sz w:val="18"/>
          <w:szCs w:val="18"/>
          <w:i w:val="1"/>
          <w:iCs w:val="1"/>
          <w:color w:val="auto"/>
        </w:rPr>
        <w:t>Advantage, Medicare Shared Savings, and Medicaid since 2014; patient NPS of 85).</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Privia Provider retention rate over the past four years in addition to a six-time (2016-2021) HFMA MAP Award recipient for high performance in revenue cycle).</w:t>
      </w:r>
    </w:p>
    <w:p>
      <w:pPr>
        <w:spacing w:after="0" w:line="12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Generates Attractive Financial Results: </w:t>
      </w:r>
      <w:r>
        <w:rPr>
          <w:rFonts w:ascii="Arial" w:cs="Arial" w:eastAsia="Arial" w:hAnsi="Arial"/>
          <w:sz w:val="18"/>
          <w:szCs w:val="18"/>
          <w:color w:val="auto"/>
        </w:rPr>
        <w:t>Has an established scale, diversified revenue mix with no single payer or individual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concentration, and is profitable and capital efficient with attractive growth </w:t>
      </w:r>
      <w:r>
        <w:rPr>
          <w:rFonts w:ascii="Arial" w:cs="Arial" w:eastAsia="Arial" w:hAnsi="Arial"/>
          <w:sz w:val="18"/>
          <w:szCs w:val="18"/>
          <w:i w:val="1"/>
          <w:iCs w:val="1"/>
          <w:color w:val="auto"/>
        </w:rPr>
        <w:t>(for the year ended December 31, 2020, approximately $817 million in</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and $1.3 billion total practice collections and for the nine months ended September 30, 2021, approximately $690.9 million in revenue and $1.11 billion in total practice collections, high return on invested capital with superior unit economics and high free cash flow conversion). See “Key Metrics” for a discussion of practice collections.</w:t>
      </w:r>
    </w:p>
    <w:p>
      <w:pPr>
        <w:spacing w:after="0" w:line="129" w:lineRule="exact"/>
        <w:rPr>
          <w:rFonts w:ascii="Arial" w:cs="Arial" w:eastAsia="Arial" w:hAnsi="Arial"/>
          <w:sz w:val="18"/>
          <w:szCs w:val="18"/>
          <w:b w:val="1"/>
          <w:bCs w:val="1"/>
          <w:i w:val="1"/>
          <w:iCs w:val="1"/>
          <w:color w:val="auto"/>
        </w:rPr>
      </w:pPr>
    </w:p>
    <w:p>
      <w:pPr>
        <w:ind w:left="660" w:hanging="328"/>
        <w:spacing w:after="0" w:line="28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 payer,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healthcare information technology organizations.</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Privia Physicians join the Medical Group in their geographic market as an owner of the Medical Group. Certain of our Medical Groups are majority-owned by us (each, an “Owned Medical Group”), with Privia Physicians owning a minority interest. However, in those markets in which state regulations do not allow us to own physician practices, the Medical Groups are owned entirely by Privia Physicians. We provide management services to each Medical Group though a local MSO established with the objective of maximizing the independence and autonomy of our Affiliated Practices, while providing Medical Groups with access to VBC opportunities either directly or through Privia-owned ACOs. In markets with Non-Owned Medical Groups, we earn revenue by providing administrative and management services through owned MSO entities (FFS-administrative services revenue). We have national committees that distribute quality guidance, and we employ Chief Medical Officers who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oversight and direction over the clinical affairs of the Owned Medical Groups. Additionally, we hold the provider contracts, maintain the patient records, set reimbursement rates, and negotiate payer contracts on behalf of the Owned Medical Groups. The Medical Groups have no ownership in the underlying Affiliated Practices, but the Affiliated Practices do provide certain services to our Medical Groups, such as use of space, non-physician staffing, equipment and supplies. We principally derive our revenues from the following three sources: (i) FFS-patient care revenue generated from providing healthcare services to patients through Privia Providers of Owned Medical Groups and FFS-administrative services earned for administrative services provided to Non-Owned Medical Groups, (ii) VBC revenue collected on behalf of our Privia Providers in the form of management and administrative fees, which, at this time, are primarily in the form of PMPM fees and shared savings, which includes quality bonuses, and (iii) other revenue from additional services offered by Privia to its Privia Providers or directly to patients or employers. The operations of our Owned Medical Groups, owned ACOs and owned MSOs are reflected within our consolidated financial results.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experienced strong organic revenue growth since inception and meaningful leveraging of our cost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Financial Measures</w:t>
      </w:r>
    </w:p>
    <w:p>
      <w:pPr>
        <w:spacing w:after="0" w:line="175" w:lineRule="exact"/>
        <w:rPr>
          <w:sz w:val="20"/>
          <w:szCs w:val="20"/>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was $690.9 million and $603.4 million for the nine months ended September 30, 2021 and 2020, respectively, and $817.1 million, $786.4 million and $657.6 million in 2020, 2019 and 2018, respectively;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(loss) income was $(198.1) million and $21.2 million for the nine months ended September 30, 2021 and 2020, respectively, and $25.4 million, $16.1 million and $2.2 million in 2020, 2019 and 2018, respectively;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(loss) income attributable to Privia Health Group, Inc. was $(176.3) million and $27.4 million for the nine months ended September 30, 2021 and 2020, respectively, and $31.2 million, $8.2 million and $(3.0) million, in 2020,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75"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Practice Collections was $1.11 billion and $949.0 million for the nine months ended September 30, 2021 and 2020, respectively, and $1,301.1 million, $1,135.7 million and $930.4 million in 2020, 2019 and 2018, respectively;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Care Margin was $169.8 million and $136.3 million for the nine months ended September 30, 2021 and 2020 respectively, and $187.6 million, $163.7 million and $129.7 million in 2020, 2019 and 2018, respectively;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Platform Contribution was $79.8 million and $59.2 million for the nine months ended September 30, 2021 and 2020, respectively; and $82.6 million, $68.5 million and $56.5 million in 2020, 2019 and 2018, respectively;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was $33.9 million and $23.2 million for the nine months ended September 30, 2021 and 2020, respectively, and $29.4 million, $18.1 million and $8.9 million in 2020, 2019 and 2018, respectively.</w:t>
      </w:r>
    </w:p>
    <w:p>
      <w:pPr>
        <w:spacing w:after="0" w:line="116"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As of September 30, 2021 we operate at meaningful scale in six states and the District of Columbia, covering over 70 target MPSAs. We have approximately 2,830 implemented providers across over 700 care center locations providing care to over 3 million patients, including approximately 474,000 commercial attributed lives, approximately 103,000 Medicare Advantage attributed lives, 141,000 Medicare Shared Savings / Maryland CPC+ Program attributed lives, and over 42,000 Medicaid attributed lives. In addition, we currently have over 170,000 patients aging into Medicare over the next five years. Our vision is to enter multiple new markets nationally over the next decade and fundamentally move those markets to VBC. We strive to continue being a top choice for employees, having been recognized twice by the Washington Post’s Top Workplaces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collaborating with our first practice and launching our first medical group in the Mid-Atlantic region in 2013, we have consistently expanded nationally, growing the number of markets, providers and patients we serve. During the year ended December 31, 2020 as compared to the year ended December 31, 2014, our total practice collections grew at a CAGR of 68%. From 2014 to 2020, we grew our year end implemented providers at a CAGR of 44% and attributed lives at a CAGR of 78%.</w:t>
      </w:r>
    </w:p>
    <w:p>
      <w:pPr>
        <w:spacing w:after="0" w:line="179" w:lineRule="exact"/>
        <w:rPr>
          <w:sz w:val="20"/>
          <w:szCs w:val="20"/>
          <w:color w:val="auto"/>
        </w:rPr>
      </w:pPr>
    </w:p>
    <w:p>
      <w:pPr>
        <w:ind w:left="2000"/>
        <w:spacing w:after="0"/>
        <w:tabs>
          <w:tab w:leader="none" w:pos="7200" w:val="left"/>
        </w:tabs>
        <w:rPr>
          <w:sz w:val="20"/>
          <w:szCs w:val="20"/>
          <w:color w:val="auto"/>
        </w:rPr>
      </w:pPr>
      <w:r>
        <w:rPr>
          <w:rFonts w:ascii="Arial" w:cs="Arial" w:eastAsia="Arial" w:hAnsi="Arial"/>
          <w:sz w:val="18"/>
          <w:szCs w:val="18"/>
          <w:b w:val="1"/>
          <w:bCs w:val="1"/>
          <w:color w:val="auto"/>
        </w:rPr>
        <w:t>Number of States</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6"/>
          <w:szCs w:val="16"/>
          <w:b w:val="1"/>
          <w:bCs w:val="1"/>
          <w:color w:val="auto"/>
        </w:rPr>
        <w:t>Total Practice Collections (in $bn)</w:t>
      </w:r>
      <w:r>
        <w:rPr>
          <w:rFonts w:ascii="Arial" w:cs="Arial" w:eastAsia="Arial" w:hAnsi="Arial"/>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102870</wp:posOffset>
            </wp:positionV>
            <wp:extent cx="2442845" cy="1371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428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760"/>
        <w:spacing w:after="0"/>
        <w:tabs>
          <w:tab w:leader="none" w:pos="7260" w:val="left"/>
        </w:tabs>
        <w:rPr>
          <w:sz w:val="20"/>
          <w:szCs w:val="20"/>
          <w:color w:val="auto"/>
        </w:rPr>
      </w:pPr>
      <w:r>
        <w:rPr>
          <w:rFonts w:ascii="Arial" w:cs="Arial" w:eastAsia="Arial" w:hAnsi="Arial"/>
          <w:sz w:val="18"/>
          <w:szCs w:val="18"/>
          <w:b w:val="1"/>
          <w:bCs w:val="1"/>
          <w:color w:val="auto"/>
        </w:rPr>
        <w:t>Implemented Providers</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6"/>
          <w:szCs w:val="16"/>
          <w:b w:val="1"/>
          <w:bCs w:val="1"/>
          <w:color w:val="auto"/>
        </w:rPr>
        <w:t xml:space="preserve">Attributed Lives (in thousands) </w:t>
      </w:r>
      <w:r>
        <w:rPr>
          <w:rFonts w:ascii="Arial" w:cs="Arial" w:eastAsia="Arial" w:hAnsi="Arial"/>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102870</wp:posOffset>
            </wp:positionV>
            <wp:extent cx="6155055" cy="1371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5505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Number of markets, implemented providers and attributed lives are shown at the end of each period. See “Key Metrics and Non-GAAP Financial Measures” for our definitions of practice collections, implemented providers and attributed lives.</w:t>
      </w:r>
    </w:p>
    <w:p>
      <w:pPr>
        <w:ind w:left="660" w:hanging="328"/>
        <w:spacing w:after="0"/>
        <w:tabs>
          <w:tab w:leader="none" w:pos="660" w:val="left"/>
        </w:tabs>
        <w:numPr>
          <w:ilvl w:val="1"/>
          <w:numId w:val="49"/>
        </w:numPr>
        <w:rPr>
          <w:rFonts w:ascii="Arial" w:cs="Arial" w:eastAsia="Arial" w:hAnsi="Arial"/>
          <w:sz w:val="14"/>
          <w:szCs w:val="14"/>
          <w:color w:val="auto"/>
        </w:rPr>
      </w:pPr>
      <w:r>
        <w:rPr>
          <w:rFonts w:ascii="Arial" w:cs="Arial" w:eastAsia="Arial" w:hAnsi="Arial"/>
          <w:sz w:val="14"/>
          <w:szCs w:val="14"/>
          <w:color w:val="auto"/>
        </w:rPr>
        <w:t>Total practice collections increased 22.1% from $930.4 million in 2018, to $1,135.7 million in 2019, and 14.6% from $1,135.7 million in 2019, to $1,301.1 million in 2020.</w:t>
      </w:r>
    </w:p>
    <w:p>
      <w:pPr>
        <w:spacing w:after="0" w:line="1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“Key Metrics and Non-GAAP Financial Measures” for more information as to how we define and calculate implemented providers, attributed lives, practice collections,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income, the most comparable GAAP measure, to adjusted EBITDA.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the Coronavirus Aid, Relief and Economic Stimulus Act (“CARES Act”)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current COVID-19 pandemic had an impact on our results of operations, cash flow and financial position for nine months ended and as of September 30, 2021 and 2020, as we experienced lower volumes than anticipated and shifts in the mix of services provided after the onset of the pandemic in the United States. We are closely monitoring the impact of the pandemic on all aspects of our business including impacts to employees, customers, patients, suppliers and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the Company and its subsidiaries as a result of specific provisions of the CARES Act for the three and nine month periods ended September 30, 2021:</w:t>
      </w:r>
    </w:p>
    <w:p>
      <w:pPr>
        <w:spacing w:after="0" w:line="133" w:lineRule="exact"/>
        <w:rPr>
          <w:sz w:val="20"/>
          <w:szCs w:val="20"/>
          <w:color w:val="auto"/>
        </w:rPr>
      </w:pPr>
    </w:p>
    <w:p>
      <w:pPr>
        <w:jc w:val="both"/>
        <w:ind w:left="660" w:hanging="328"/>
        <w:spacing w:after="0" w:line="263" w:lineRule="auto"/>
        <w:tabs>
          <w:tab w:leader="none" w:pos="65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Company elected to defer its portion of Social Security taxes in 2020, which may be repaid over two years as follows: 50% by the end of 2021 and 50% by the end of 2022. Approximately $1.6 million is recorded in accrued expenses on the balance sheet as of September 30, 2021 related to this deferral and the Company intends to remit payment by the end of 2021; and</w:t>
      </w:r>
    </w:p>
    <w:p>
      <w:pPr>
        <w:spacing w:after="0" w:line="129" w:lineRule="exact"/>
        <w:rPr>
          <w:rFonts w:ascii="Arial" w:cs="Arial" w:eastAsia="Arial" w:hAnsi="Arial"/>
          <w:sz w:val="18"/>
          <w:szCs w:val="18"/>
          <w:b w:val="1"/>
          <w:bCs w:val="1"/>
          <w:color w:val="auto"/>
        </w:rPr>
      </w:pPr>
    </w:p>
    <w:p>
      <w:pPr>
        <w:jc w:val="both"/>
        <w:ind w:left="660" w:hanging="328"/>
        <w:spacing w:after="0" w:line="263" w:lineRule="auto"/>
        <w:tabs>
          <w:tab w:leader="none" w:pos="655"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color w:val="auto"/>
        </w:rPr>
        <w:t>The Company received $13.3 million in grant funds from the Provider Relief Fund under the CARES Act during the nine months ended September 30, 2020. No funds were received from the Provider Relief Fund under the CARES Act during the three and nine months ended September 30,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Revenue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 revenue from multiple stakeholders, including health care consumers, health insurers,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primarily per member per month (“PMPM”) fees (including care management fees, management services fees, care coordination fees and all other similar administrative fees) and shared savings (including surplus payments, shared savings, total cost of care budget payments and similar payments), and (iii) other revenue from additional services, such as concierge services, virtual visits, virtual scribes and coding, clinical trials, behavioral health management, and partnerships with self-insured employers to offer direct primary care to their employees.</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January 1, 2019, we adopted ASC 606, using the modified retrospective method for all contracts not completed as of the date of adoption. The consolidated financial statements as of and for the twelve months December 31, 2019 reflect the application of the accounting guidance of ASC 606, while the respective consolidated financial statements and other financial information (as applicable) for the periods commencing prior to January 1, 2019, reflect previous accounting guidance from the application of ASC 605. See below in our discussion and analysis of our financial condition and results of operations, as well as Note 1, “Organization and Summary Significant Accounting Policies,” and Note 4, “Revenue Recognition,” to our audited consolidated financial statements included elsewhere in this prospectus for additional information on the impact of the adoption of ASC 606.</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results for periods starting on or after January 1, 2019 are presented on an ASC 606 basis, unless otherwise noted, and consolidated results for periods commencing prior to January 1, 2019 are presented on an ASC 605 basis.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FFS Revenue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generate FFS-patient care revenue when we collect reimbursements for FFS medical services provided by Privia Providers. Our agreements with our providers have a multi-year term length and we have historically experienced a 95% provider retention rate, both of which lead to a highly predictable and recurring revenue model. Our FFS contracts with payer partners typically contain annual rate inflators and enhanced commercial FFS rates given our scale in each of our markets. As a result of receiving these rate inflators and enhancements, if we continue to be successful in expanding our provider base, we expect revenue will grow year-over-year in absolute dollars. In addition, in our FFS-patient care revenue, we include collections generated from ancillary services such as clinical laboratory and imaging and pharmacy. We also generate FFS-administrative services revenue by providing administration and management services to medical groups which are not owned or consolidated by us. FFS-patient care revenue represented 79.7% and 78.7% for the nine months ended September 30, 2021 and 2020 respectively, and 79.2%, 86.0% and 87.1% of total revenue in 2020, 2019 and 2018, respectively. FFS-administrative services revenue represented 6.8% and 7.1% for the nine months ended September 30, 2021 and 2020, respectively, and 7.1%, 6.2% and 5.0% of total revenue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VBC Revenue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Over time, we create incremental value for our provider partners by enabling them to succeed in VBC arrangements. We generate VBC revenue when our providers are reimbursed through traditional FFS Medicare, MSSP, Medicare Advantage, commercial payers and other existing and emerging direct payer and employer contracting programs. The revenue is primarily collected in the form of (i) PMPM care management fees to cover costs of services typically not reimbursed under traditional FFS payment models, including population management, care coordination, advanced technology and analytics, and (ii) shared savings earned based on improved quality and lower cost of care for our attributed patients in VBC arrangements. VBC revenue represented 12.9% and 11.6% for the nine months ended September 30, 2021 and 2020, respectively, and 11.4%, 7.4% and 7.5% of total revenue in 2020, 2019 and 2018, respectively. We expect VBC revenue to continue to increase as a percentage of total revenue as we grow total attributed lives under management as well as increase risk levels undertaken across value-based arrangements.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 Other revenue represented 0.5% and 2.7% for the nine months ended September 30, 2021 and 2020, respectively, and 2.3%, 0.4% and 0.4% of total revenue in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Addition of New Providers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increase our provider base will enable us to deliver financial growth as our providers generate both our FFS and VBC revenue. We believe the number of providers joining Privia is a key indicator of the market’s recognition of the attractiveness of our platform to our providers, patients and payers. Our existing provider penetration and market share provides us with significant opportunity to grow in both existing and new geographies. We intend to increase our provider base in our existing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 We also intend to add new providers by expanding into new markets.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Addition of New Patients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add new patients to our provider base in existing and new markets will also enable us to deliver revenue growth in both our FFS and VBC contracts. We believe the number of attributed patient lives in VBC programs is a key driver of our VBC revenue growth. Our branding and marketing strategies to drive growth in our practices has continued to result in increased engagement with new and existing patients and an expanded enterprise web presence. As an example, in 2020, we saw a 79% increase year-over-year in post impressions on social media channels and a 69% increase year-over-year in user sessions on myPrivia.com. We believe our continued success in growing the visibility of the Privia brand will result in increased patient panels per provider and contribute incremental revenue in both FFS and VBC for our practices.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Expansion to New Markets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upon our experience to date, we believe Privia can succeed in all reimbursement environments and payment models. We believe our in-market operating structure and ability to serve providers wherever they are on their transition to VBC can benefit U.S. physicians and providers throughout the country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TIN medical group. Our business model also gives us flexibility in the future for incremental growth through acquiring minority or majority stakes in our practices and opening de-novo, fully-owned sites of care focused on Medicare Advantage and direct contracting models. The data we have collected from older provider cohorts consistently suggest that we improve their performance in both FFS and VBC metrics over time and inform our expectations for our new markets.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Provider Satisfaction and Retention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Privia Providers have high satisfaction with their overall performance on our platform, and we strive to continuously improve provider well-being and patient satisfaction. Our provider NPS of 58 (for the period between April 6, 2021 to April 27, 2021) is 23 points higher than the average provider score of</w:t>
      </w:r>
    </w:p>
    <w:p>
      <w:pPr>
        <w:ind w:left="280" w:hanging="272"/>
        <w:spacing w:after="0"/>
        <w:tabs>
          <w:tab w:leader="none" w:pos="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addition, we had 95% average provider retention over the past four years. Our patients that our providers serve have a net patient satisfaction score of</w:t>
      </w:r>
    </w:p>
    <w:p>
      <w:pPr>
        <w:spacing w:after="0" w:line="32" w:lineRule="exact"/>
        <w:rPr>
          <w:rFonts w:ascii="Arial" w:cs="Arial" w:eastAsia="Arial" w:hAnsi="Arial"/>
          <w:sz w:val="16"/>
          <w:szCs w:val="16"/>
          <w:color w:val="auto"/>
        </w:rPr>
      </w:pPr>
    </w:p>
    <w:p>
      <w:pPr>
        <w:jc w:val="both"/>
        <w:ind w:firstLine="8"/>
        <w:spacing w:after="0" w:line="255" w:lineRule="auto"/>
        <w:tabs>
          <w:tab w:leader="none" w:pos="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2020. Our percentage of collections care margin model combined with high patient and provider satisfaction results in 90%+ practice collections predictability on a rolling twelve month forward basis. We believe these metrics demonstrate the stability of our provider base and the appeal to prospective providers and patients of our platform.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Payer Contracts and Ability to Move Markets to VBC</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FFS and VBC revenue is dependent upon our contracts and relationships with payers. We partner with a large and diverse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 We have over 200 FFS and VBC contracts across our markets as of September 30, 2021.</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Privia’s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 continue enhancing our VBC capabilities and executing on initiatives to deliver next generation access, superior quality metrics and lower cost of care.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Revenue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FFS revenue is primarily dependent upon the size of our provider base, payer contracted rates and patient volume. Our ability to maintain or improve pricing levels in our contracts with payers and patient volume for our providers will impact our results of operations. In addition to increasing our provider base and contracted rates over time, we also seek to increase patient volume by demonstrating the ability to provide a better patient experience that leads to higher retention rates and drives referrals to preferred, 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continue focusing on long-term growth through investments in our sales and marketing, our technology-enabled platform, and our operations. As we expand to new markets, we expect to make upfront investments in sales and marketing to add new providers. We also continue to enhance our end-to-end, cloud-based technology-enabled platform to increase provider workflow efficiency, enhance patient experience and engagement, achieve lower total cost of care, improve healthcare outcomes and increase revenue for our practices. In addition, as we continue our efforts to move markets toward VBC, we expect to continue making additional investments in operations for an expanded suite of clinical capabilities to manage our patient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review a number of operating and financial metrics, including the following key metrics and non-GAAP financial measures, to evaluate our business, measure our performance, identify trends affecting our business, formulate our business plans, and make strategic decisions.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(amounts in thousands, except provider data)</w:t>
            </w: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Implemented Providers (as of end of period)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Attributed Lives (as of end of period)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3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Practice Collections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1,301,074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930,413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55"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Metrics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Implemented Providers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define implemented providers as the total of all service professionals on our platform at the end of a given period who are credentialed by us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billed for medical services, in both Owned and Non-Owned Medical Groups during that period. This includes, but is not limited to, physicians, physician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assistants, and nurse practitioners. We believe that growth in the number of implemented providers is a key indicator of the performance of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expected revenue growth. This growth depends, in part, on our ability to successfully add new practices in existing markets and expand into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markets. We have approximately 2,830 implemented providers on our platform as of September 30, 2021. The number of implemented providers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15.2% during the nine months ended September 30, 2021 when compared to the same periods in 2020 and increased 2.7% between 2020 and 2019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38.2% between 2019 and 2018 because of organic growth in our healthcare delivery business.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Attributed Lives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define Attributed Lives as any patient that a payer deems attributed to Privia, in both Owned and Non-Owned Medical Groups, to deliver care as part of a VBC arrangement. We define our Attributed Lives as patients who have selected one of our owned or Non-Owned Medical Groups as their provider of primary care services as of the end of a particular period. The number of Attributed Lives is an important measure that impacts the amount of VBC revenue we receive. Attributed Lives increased 17.6% between September 30, 2021 and 2020, due to organic growth in all markets and the addition of Attributed Lives in the Tennessee market during the fourth quarter of 2020. While overall Attributed Lives decreased 3.1% between 2020 and 2019, attributed lives in government value-based programs increased by 20.3% and commercial value-based programs decreased by 13.7%.</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Practice Collections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Practice collections increased increased 17.3% for the nine months ended September 30, 2021 when compared to the same period in 2020 and increased 14.6% between 2020 and 2019 and 22.1% between 2019 and 2018 because of organic growth of our healthcare delivery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(amounts in thousands, except for percentages)</w:t>
            </w: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24"/>
        </w:trPr>
        <w:tc>
          <w:tcPr>
            <w:tcW w:w="35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Care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136,317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129,686</w:t>
            </w:r>
          </w:p>
        </w:tc>
      </w:tr>
      <w:tr>
        <w:trPr>
          <w:trHeight w:val="229"/>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rPr>
              <w:t>Platform Contribution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79,762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59,184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82,582</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68,472</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56,459</w:t>
            </w:r>
          </w:p>
        </w:tc>
      </w:tr>
      <w:tr>
        <w:trPr>
          <w:trHeight w:val="229"/>
        </w:trPr>
        <w:tc>
          <w:tcPr>
            <w:tcW w:w="3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Platform Contribution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43.5%</w:t>
            </w:r>
          </w:p>
        </w:tc>
      </w:tr>
      <w:tr>
        <w:trPr>
          <w:trHeight w:val="230"/>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33,851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23,202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29,372</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18,126</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8,931</w:t>
            </w:r>
          </w:p>
        </w:tc>
      </w:tr>
      <w:tr>
        <w:trPr>
          <w:trHeight w:val="229"/>
        </w:trPr>
        <w:tc>
          <w:tcPr>
            <w:tcW w:w="3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8"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below for more information as to how we define and calculate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income, the most comparable GAAP measure, to adjusted EBITDA.</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Care Margin</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care margin as total revenue less the sum of physician and practice expense.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by our practices.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24.5% for the nine months ended September 30, 2021 when compared to the same period in 2020 and increased 14.6% between 2020 and 2019 and 26.2% between 2019 and 2018 due to organic growth of our medical practice business.</w:t>
      </w:r>
    </w:p>
    <w:p>
      <w:pPr>
        <w:spacing w:after="0" w:line="11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care margin, a non-GAAP measure, is useful in evaluating our operating performance. See “Selected Consolidated Financial and Other Data—Non-GAAP Financial Measures.”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Platform Contribution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define Platform Contribution as total revenue less the sum of (i) physician and practice expense, (ii) cost of platform and (iii) stock-based compensation expense included in Cost of platform.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increased 34.8% for the nine months ended September 30, 2021 when compared to the same period in 2020, increased 20.6% between 2020 and 2019 and 21.3% between 2019 and 2018 due to organic growth of our medical practice business.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platform contribution, a non-GAAP measure, is useful in evaluating our operating performance. See “Selected Consolidated Financial and Other Data—Non-GAAP Financial Measures.”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Platform Contribution Margin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define Platform Contribution (as defined above) as a percentage of Care Margin. We consider platform contribution margin to be an important measure to monitor our performance, specific to pricing of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was 47.0% for the nine months ended September 30, 2021 an increase from 43.4% during the same period in 2020 as we continue to make strategic investments to provide better service to both our patients and physicians as we continue to grow our revenue. Platform contribution margin increased 2.2% between 2020 and 2019 as we eased some investments in response to COVID-19 and decreased 3.9% between 2019 and 2018 as we continued to make strategic investments to provide better service to both our patients and physicians.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platform contribution margin, a non-GAAP measure, is useful in evaluating our operating performance. See “Selected Consolidated Financial and Other Data—Non-GAAP Financial Measures.”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define adjusted EBITDA as net (loss) income excluding interest income, interest expense, minority interest expense / income, stock-based compensation, severance, other one time or non-recurring expenses and the provision for income taxes.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the dilution that results from stock-based compensation or any cash outflows included in stock-based compensation, including from our purchases of shares of outstanding common stock, and (ii) adjusted EBITDA does not reflect interest expense on our debt or the cash requirements necessary to service interest or principal payments. Adjusted EBITDA increased 45.9% for the nine months ended September 30, 2021, when compared to the same period in 2020, increased 62.0% between 2020 and 2019 and 103.0% between 2019 and 2018 due to organic growth of our medical practice business.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adjusted EBITDA, a non-GAAP measure, is useful in evaluating our operating performance. See “Selected Consolidated Financial and Other Data—Non-GAAP Financial Measures.”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Margin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adjusted EBITDA margin as net (loss) income excluding interest income, interest expense, minority interest expense / income, stock-based compensation, severance, other one time or non-recurring expenses and the provision for income taxes calculated as a percentage of care margin.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was 19.9% for the nine months ended September 30, 2021 an increase from 17.0% for the same period in 2020 and increased 41.4% between 2020 and 2019 and 60.8% between 2019 and 2018 due to organic growth of our medical practice business.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adjusted EBITDA margin, a non-GAAP measure, is useful in evaluating our operating performance. See “Selected Consolidated Financial and Other Data—Non-GAAP Financial Measures.”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is earned in three main categories: FFS revenue, VBC revenue and other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FFS-patient care revenue is generated from providing healthcare services to patients. We receive payments pursuant to contracts with the U.S. federal government and large and small payer organizations that are multi-year in nature, typically ranging from three to five years. We also receive payments from patients that may be financially responsible for a portion or all of the service in the form of co-pays, coinsurance or deductibles.</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FFS-administrative services business provides administration and management services to Non-Owned Medical Groups. The Company’s MSAs with Non-Owned Medical Groups range from 5-20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 In certain MSAs, the Company is paid administrative fees equal to the cost of supplying certain services as outlined in the MSAs, and if applicable, a margin is added to the cost of certain services. Other MSAs are based on a fixed percentage of net collections.</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VBC revenue is earned through our clinically integrated network and accountable care organizations which bring together independent physician practices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PMPM basis and (2) incentive amounts typically earned on a shared savings basis.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Physician and practice expenses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Physician payments are set payments made to physicians associated with Owned Medical Groups. These payments are set and adjusted as necessary, pursuant to the Owned Medical Groups’ Board of Directors’ approved guidelines with variances specifically approved by the Owned Medical Groups’ Board of Directors. Practice related payments are used to cover an Affiliated Practice’s staff salary and benefits, medical supplies, rent and other occupancy costs, insurance and office supplies. Affiliated Practices are not owned by the Company and the Company bears no responsibility for any losses incurred by Affiliated Practices. Affiliated Practices are paid a variable amount based on collections and the services provided.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platform</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Third-party EMR and practice management software expenses are paid on a percentage of revenue basis, while we pay most of the costs of our platform on a variable basis related to the number of implemented physicians we service. Software development costs that do not meet capitalization criteria are expensed as incurred. As we continue to grow, we expect the cost of platform to continue to grow at a rate slower than the revenue growth rate.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Sales and marketing expenses consist of employee-related expenses, including salaries, commissions, and employee benefits costs, for all of our employees engaged in marketing, sales, community outreach, and sales support. These employee-related expenses capture all costs for both our field-based and corporate sales and marketing teams. Sales and marketing expenses also include central and community-based advertising to generate greater awareness, engagement, and retention among our current and prospective patients as well as the infrastructure required to support all of our marketing efforts. Although these costs decreased in the year ended December 31, 2020 as compared to the year ended December 31, 2019, we generally expect these costs to increase in absolute dollars over time as we continue to grow our patient panels and number of markets. We evaluate our sales and marketing expense relative to our patient growth and will invest more heavily in sales and marketing from time-to-time to the extent we believe we can accelerate our growth without materially negatively affecting our unit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Corporate, general and administrative expenses include employee-related expenses, including salaries and related costs and stock-based compensation, technology infrastructure, operations, clinical and quality support, finance, legal, human resources, and development departments. In addition, general and administrative expenses include all corporate technology and occupancy costs. We expect our general and administrative expenses to increase over time following the closing of this offering due to the additional legal, accounting, insurance, investor relations and other costs that we will incur as a public company, as well as other costs associated with continuing to grow our business. However, we anticipate general and administrative expenses to decrease as a percentage of revenue over the long term, although they may fluctuate as a percentage of revenue from period to period due to the timing and amount of these expenses.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Depreciation and amortization expenses are primarily attributable to our capital investment and consist of fixed asset depreciation and amortization of intangibles considered to have definite lives. We do not allocate depreciation and amortization expenses to other operating expense categories.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consists primarily of interest payments on our outstanding borrowings under our note payable. See “Liquidity and Capital Resources —General and Note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our condensed consolidated statements of operations data for the nine months ended September 30,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Nine Months Ended September 30,</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6"/>
        </w:trPr>
        <w:tc>
          <w:tcPr>
            <w:tcW w:w="5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 ($)</w:t>
            </w:r>
          </w:p>
        </w:tc>
        <w:tc>
          <w:tcPr>
            <w:tcW w:w="1580" w:type="dxa"/>
            <w:vAlign w:val="bottom"/>
          </w:tcPr>
          <w:p>
            <w:pPr>
              <w:jc w:val="right"/>
              <w:ind w:right="331"/>
              <w:spacing w:after="0"/>
              <w:rPr>
                <w:sz w:val="20"/>
                <w:szCs w:val="20"/>
                <w:color w:val="auto"/>
              </w:rPr>
            </w:pPr>
            <w:r>
              <w:rPr>
                <w:rFonts w:ascii="Arial" w:cs="Arial" w:eastAsia="Arial" w:hAnsi="Arial"/>
                <w:sz w:val="14"/>
                <w:szCs w:val="14"/>
                <w:b w:val="1"/>
                <w:bCs w:val="1"/>
                <w:color w:val="auto"/>
              </w:rPr>
              <w:t>Change (%)</w:t>
            </w:r>
          </w:p>
        </w:tc>
      </w:tr>
      <w:tr>
        <w:trPr>
          <w:trHeight w:val="169"/>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Physician and practice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Cost of platform</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53,874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69.8 %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156.7 %</w:t>
            </w: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187,367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641.8 %</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52.7 %</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(219,307)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r>
      <w:tr>
        <w:trPr>
          <w:trHeight w:val="230"/>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benefit from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173.6 %</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883.9 %</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Nine Months Ended September 30,</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 ($)</w:t>
            </w: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 (%)</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Care management fees (PMPM)</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34.5 %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87,511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was $690.9 million for the nine months ended September 30, 2021, an increase of $87.5 million or 14.5% compared to $603.4 million for the nine months ended September 30, 2020. Key drivers of this revenue growth were FFS–patient care revenue which increased $75.8 million or 16.0%, shared savings revenue, which increased $12.6 million or 25.5%, care management fees (PMPM), which increased $7.0 million or 34.5% and FFS-administrative services which increased $4.5 million or 10.5%, partially offset by a decrease in other revenue of $12.4 million or 76.7%.</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Growth in FFS-patient care revenue and FFS-administrative services was primarily attributed to an increase in visit volumes as COVID-19 restrictions are lifted in certain states as well as the addition of new providers. Care management fees (PMPM) growth was due mainly to an increase in the total number of VBC contracts that include the payment of care management fees and an increase in Attributed Lives. Shared savings growth was primarily due to more Attributed Lives in government programs as well as performance in those programs during 2020 that was greater than previously estimated. The decrease in other revenue was primarily driven by the grant funds received as part of the CARES Act Provider Relief Fund in 2020 as additional funds were not received in 2021 as part of the CARES Act Provider Relief Fund.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w:t>
            </w: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 (%)</w:t>
            </w: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Physician and practice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521,105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467,059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54,046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156.7 %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641.8 %</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Physician and practice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Physician expenses were $521.1 million for the nine months ended September 30, 2021, an increase of $54.0 million or 11.6%, compared to $467.1 million for the nine months ended September 30, 2020. This increase was driven primarily by higher FFS-patient care revenue and growth in implemented providers partially offset by a decrease in grant expense.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platform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platform expenses were $131.0 million for the nine months ended September 30, 2021, an increase of $53.9 million, or 69.8% compared to $77.1 million for the nine months ended September 30, 2020. This increase was primarily driven by the increase of $41.0 million of stock-based compensation expense recognized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three months ended September 30, 2021 primarily related to the modification of vesting terms of options in connection with the Company’s initial public offering (“IPO”), an increased investment in salaries and benefits of $6.1 million as we continue to grow and an increase in consulting costs of $4.6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were $19.0 million for the nine months ended September 30, 2021, an increase of $11.6 million, or 156.7%, compared to $7.4 million for the nine months ended September 30, 2020. This increase was primarily driven by the increase of $8.7 million of stock-based compensation expense recognized during the nine months ended September 30, 2021 primarily related to the modification of vesting terms of options in connection with the Company’s IPO and an increase in salaries and benefits of $2.4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were $216.6 million for the nine months ended September 30, 2021, an increase of $187.4 million, or 641.8%, compared to $29.2 million for the nine months ended September 30, 2020. This increase was primarily driven by the increase of $178.4 million of stock-based compensation expense recognized during the nine months ended September 30, 2021, primarily related to the modification of vesting terms of options in connection with the Company’s IPO, an increase in salaries and benefits of $4.3 million and an increase of $2.0 million in consulting services primarily related to the Company’s IPO.</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expenses remained relatively consistent for the three and nine months ended September 30, 2021 as compared to the same periods in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Interest expense was $0.9 million for the nine months ended September 30, 2021, a decrease of $0.6 million, or 40.2%, compared to $1.5 million for the nine months ended September 30, 2020. The decrease was primarily driven by the repayment of a note payable to related parties in 2020.</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 from income taxes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benefit from income taxes of $20.2 million for the nine months ended September 30, 2021 increased $12.8 million when compared to the benefit from income taxes of $7.4 million for the same period in 2020. The benefit from the nine months ended September 30, 2020 is primarily the result of the removal of the valuation allowance as the weight of all positive evidence outweighs the weight of the negative evidence when evaluating the ability for the deferred tax asset to be realized in the future. The benefit for the nine months ended September 30, 2021 is primarily the result of the pre-tax loss offset by the non-deductible stock-based compensation expense related to the modification of vesting terms of options in connection with the Company’s IPO.</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loss attributable to non-controlling interests was $2.5 million for the nine months ended September 30, 2021, an increase of $2.2 million, compared to $0.3 million for the same period in 2020 and is primarily due to an increase in net loss before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6"/>
        </w:trPr>
        <w:tc>
          <w:tcPr>
            <w:tcW w:w="5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51"/>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232"/>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Physician and practice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320" w:type="dxa"/>
            <w:vAlign w:val="bottom"/>
          </w:tcPr>
          <w:p>
            <w:pPr>
              <w:ind w:left="460"/>
              <w:spacing w:after="0"/>
              <w:rPr>
                <w:sz w:val="20"/>
                <w:szCs w:val="20"/>
                <w:color w:val="auto"/>
              </w:rPr>
            </w:pPr>
            <w:r>
              <w:rPr>
                <w:rFonts w:ascii="Arial" w:cs="Arial" w:eastAsia="Arial" w:hAnsi="Arial"/>
                <w:sz w:val="18"/>
                <w:szCs w:val="18"/>
                <w:color w:val="auto"/>
              </w:rPr>
              <w:t>Cost of platform</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29"/>
        </w:trPr>
        <w:tc>
          <w:tcPr>
            <w:tcW w:w="5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30"/>
        </w:trPr>
        <w:tc>
          <w:tcPr>
            <w:tcW w:w="532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5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21,397</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70"/>
        </w:trPr>
        <w:tc>
          <w:tcPr>
            <w:tcW w:w="5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8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(benefit from) provision for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156.4 %</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289.0 %</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Less: Net loss attributable to non-controlling interests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Privia Health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Revenue was $817.1 million for the year ended December 31, 2020, an increase of $30.7 million or 3.9%, compared to $786.4 million for the year ended December 31, 2019. Key drivers of this revenue growth were FFS – administrative services revenue, which increased $9.8 million or 20.1%, and care management fees (PMPM), which increased $8.2 million or 44.3%, shared savings revenue which increased $26.6 million or 66.6%, and other revenue which increased $15.0 million or 456.0%, partially offset by a decrease in FFS–patient care revenue of $28.8 million or 4.3%. Growth in FFS– administrative services revenue was due mainly to the addition of a new market for a full year in 2020 (Florida). Care management fees (PMPM) growth was due mainly to an increase in the total number of VBC contracts that include the payment of care management fees. Shared savings growth was mainly due to a move to a higher risk track in two of our markets for MSSP, which provided a larger opportunity to earn incentive amounts, as well as the addition of a new shared savings contract in Florida in 2020. The increase in other revenue was driven by the grant funds received as part of the Cares Act Provider Relief Fund. The decrease in FFS – patient care revenue was mainly attributed to certain state and local initiatives imposed as a result of COVID-19, such as social distancing guidelines and temporary lockdowns, partially offset by the addition of new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Twelve Months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676,157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58,278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Care management (PMPM)</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456.0 %</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817,075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786,360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
        </w:trPr>
        <w:tc>
          <w:tcPr>
            <w:tcW w:w="510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Operating Expenses</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Twelve Months Ended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32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20"/>
              <w:spacing w:after="0"/>
              <w:rPr>
                <w:sz w:val="20"/>
                <w:szCs w:val="20"/>
                <w:color w:val="auto"/>
              </w:rPr>
            </w:pPr>
            <w:r>
              <w:rPr>
                <w:rFonts w:ascii="Arial" w:cs="Arial" w:eastAsia="Arial" w:hAnsi="Arial"/>
                <w:sz w:val="18"/>
                <w:szCs w:val="18"/>
                <w:color w:val="auto"/>
              </w:rPr>
              <w:t>Physician and practice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629,487</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622,632</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Sale and marketing</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Physician and practice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Physician expenses were $629.5 million for the year ended December 31, 2020, an increase of $6.9 million, or 1.1%, compared to $622.6 million for the year ended December 31, 2019. This increase was driven primarily the growth in implemented providers offset by some decreases in expenses related to lower FFS-patient care revenue.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platform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platform expenses were $105.0 million for the year ended December 31, 2020, an increase of $9.8 million, or 10.2 %, compared to $95.2 million for the year ended December 31, 2019. This increase was driven primarily by an increase in third-party EMR and practice management software expenses of $2.1 million, and an increase in salaries and benefits of $12.5 million to support the growth of our business, partially offset by a decrease in consulting costs of $1.3 million, and a decrease in travel of $2.3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Sales and marketing expenses were $11.3 million for the year ended December 31, 2020, an increase of $2.2 million, or 23.9%, compared to $9.2 million for the year ended December 31, 2019. This increase was driven primarily by an increase in salaries and benefits of $2.0 million related to opening a new market in Tennessee as well as an increase in variable compensation related to the number of physicians joining our platform during 2020.</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was $44.0 million for the year ended December 31, 2020, an increase of $2.2 million, or 5.2%, compared to $41.8 million for the year ended December 31, 2019. We recorded $0.2 million in stock based compensation in 2019 as compared to $0.5 million in 2020. In addition, there was a $2.0 million increase in consulting services due primarily to additional audit and other services performed in 2020 related to preparing to be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expense was $1.8 million for the year ended December 31, 2020, an increase of $0.4 million, or 29.2%, compared to $1.4 million for the year ended December 31, 2019. This increase was driven primarily by an increase in leasehold improvements related to the office space buildout that consolidated our corporate offices.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was $1.9 million for the year ended December 31, 2020, a decrease of $5.0 million, or 72.3%, compared to $6.9 million for the year ended December 31, 2019. The decrease was primarily driven by the refinance of the Company’s debt in November 2019, combined with the repayment of a note payable to related parties.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Benefit from income taxes increased $8.6 million for the year ended December 31, 2020 when compared to the same period in 2019 primarily due to the release of the valuation allowance.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loss attributable to non-controlling interest remained relatively consistent for the year ended December 31, 2020 when compared to the same period in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Physician and practice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5140" w:type="dxa"/>
            <w:vAlign w:val="bottom"/>
          </w:tcPr>
          <w:p>
            <w:pPr>
              <w:ind w:left="460"/>
              <w:spacing w:after="0"/>
              <w:rPr>
                <w:sz w:val="20"/>
                <w:szCs w:val="20"/>
                <w:color w:val="auto"/>
              </w:rPr>
            </w:pPr>
            <w:r>
              <w:rPr>
                <w:rFonts w:ascii="Arial" w:cs="Arial" w:eastAsia="Arial" w:hAnsi="Arial"/>
                <w:sz w:val="18"/>
                <w:szCs w:val="18"/>
                <w:color w:val="auto"/>
              </w:rPr>
              <w:t>Cost of platform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5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14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5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114,844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17.5 %</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645.3 %</w:t>
            </w:r>
          </w:p>
        </w:tc>
      </w:tr>
      <w:tr>
        <w:trPr>
          <w:trHeight w:val="230"/>
        </w:trPr>
        <w:tc>
          <w:tcPr>
            <w:tcW w:w="5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314.6 %</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1,688.2 %</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289.7 %</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Less: Net loss attributable to non-controlling interests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Privia Health Group,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was $786.4 million for the year ended December 31, 2019, an increase of $128.8 million or 19.6%, compared to $657.6 million for the year ended December 31, 2018. This overall increase was driven primarily by our 38.2% growth in implemented providers during the year which increased to 2,482 at December 31, 2019 from 1,796 at December 31, 2018. The following table presents our revenues disaggregated by source:</w:t>
      </w:r>
    </w:p>
    <w:p>
      <w:pPr>
        <w:spacing w:after="0" w:line="133"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For the Twelve Months Ended</w:t>
      </w:r>
    </w:p>
    <w:p>
      <w:pPr>
        <w:jc w:val="center"/>
        <w:ind w:left="19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572,719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103,438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47.2 %</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Care management (PMPM)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88.6 %</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Key drivers of this revenue growth were FFS – patient care which increased $103.4 million or 18.1 %, FFS – administrative services which increased $15.6 million or 47.2% and Care management fees (PMPM) which increased $8.7 million or 88.6%. Growth in FFS–patient care was due mainly to a growth in implemented providers during the year in Owned Medical Groups. Growth in FFS–administrative services was due mainly to a growth in implemented providers during the year in Non-Owned Medical Groups as well as the addition of a new market, Florida, in 2019. Care management fees (PMPM) growth was due mainly to an increase in attributed lives and additional VBC contracts that began in 2019.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spacing w:after="0"/>
              <w:rPr>
                <w:sz w:val="20"/>
                <w:szCs w:val="20"/>
                <w:color w:val="auto"/>
              </w:rPr>
            </w:pPr>
            <w:r>
              <w:rPr>
                <w:rFonts w:ascii="Arial" w:cs="Arial" w:eastAsia="Arial" w:hAnsi="Arial"/>
                <w:sz w:val="14"/>
                <w:szCs w:val="14"/>
                <w:b w:val="1"/>
                <w:bCs w:val="1"/>
                <w:color w:val="auto"/>
                <w:w w:val="99"/>
              </w:rPr>
              <w:t>For the Twelve Months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Physician and practice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622,632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527,923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94,709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Sale and marketing</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33.4 %</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Physician and practice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Physician expenses were $622.6 million for the year ended December 31, 2019, an increase of $94.7 million, or 17.9%, compared to $527.9 million for the year ended December 31, 2018. This increase was driven primarily by incremental expenses of $99.6 million related to our growth of implemented providers.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platform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platform expenses were $95.2 million for the year ended December 31, 2019, an increase of $22.0 million, or 30.1%, compared to $73.2 million for the year ended December 31, 2018. This increase was driven primarily by an increase in third-party EMR and practice management software expenses of $9.1 million, an increase in consulting costs of $7.3 million, which was related to a couple larger group implementations in 2019 and an increase in salaries and benefits of $5.0 million to support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were $9.2 million for the year ended December 31, 2019, a decrease of $2.5 million, or 22.0%, compared to $11.7 million for the year ended December 31, 2018. This decrease was driven primarily by a decrease in salaries and benefits of $1.1 million and consulting costs of $0.7 million due to the mix of new providers implemented in existing and new markets.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was $41.8 million for the year ended December 31, 2019, an increase of $0.3 million, or 0.8%, compared to $41.5 million for the year ended December 31, 2018. We recorded $1.9 million in stock based compensation in 2018 as compared to $0.2 million in 2019. The increase in other components of general and administrative expense was primarily related to increase in salaries and benefits to support the growth of our business.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expense was $1.4 million for the year ended December 31, 2019, an increase of $0.3 million, or 33.4%, compared to $1.1 million for the year ended December 31, 2018. This increase was driven primarily by an increase in leasehold improvements related to the office space buildout that consolidated our corporate offices.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was $6.9 million for the year ended December 31, 2019, an increase of $0.5 million, or 7.6%, compared to $6.4 million for the year ended December 31, 2018. This increase was driven primarily by higher variable interest rates during the year.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Provision for income taxes increased $1.3 million for the year ended December 31, 2019 when compared to the same period in 2018 primarily due to an increase in the amortization of the deferred tax liability associated with an indefinite life intangible asset.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loss attributable to non-controlling interest decreased $0.8 million for the year ended December 31, 2019 when compared to the same period in 2018 primarily due to a lower loss in the non-controlling interest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Note Payable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date, we have financed our operations principally through sale of our equity, payments received from various payers and through the issuance of a note payable to a third-party financial institution (through November 15, 2019) and replaced it with a note payable from a different third-party financial institution (after November 15, 2019). As of December 31, 2020, we had cash and cash equivalents of $84.6 million. As of September 30, 2021, we had cash and cash equivalents of $362.1 million. We received $211.0 million of net proceeds received from the Company’s IPO and Anthem private placement on May 3, 2021. Our cash and cash equivalents primarily consist of highly liquid investments in money market funds and cash. Since our inception, we have generated losses from our operations as reflected in our accumulated deficit of $19.9 million as of December 31, 2020 and $196.1 million as of September 30, 2021.</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our cash and cash equivalents, together with cash flows from operations, is sufficient to fund our operating and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factors, including our growth rate,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August 15, 2016, the Company entered into a Loan and Security Agreement with a third-party financial institution. The debt agreement provided for up to $30.0 million in term loans that were scheduled to mature on September 1, 2020 at the greater of prime plus 7.45% or 10.95% payable monthly. The Company borrowed $20.0 million initially in August 2016 and another $10.0 million in May 2017 under the agreement. The financing allowed for early repayment if the Company paid a pre-payment fee of 3% during the first 12 months, 2% between 12 and 24 months and 0.5% between 24 months and 36 months. On November 15, 2019, this debt was fully repaid using proceeds from a new credit facility the Company entered into with another third-party financial institution, as discussed below. Unamortized debt issuance costs of approximately $0.1 million were written off.</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30, 2018, the Company entered into a Promissory Note Agreement with affiliated investors. The debt agreement provided for $15.3 million in term loans that were scheduled to mature on January 30, 2020 at a rate of 17.5%, payable on the maturity date. The financing allowed for early repayment without penalty or premium. On November 15, 2019, this debt was fully repaid using proceeds from operations as well as an additional $5.0 million amount borrowed in the transition below.</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December 31, 2018, the Company assumed $8.7 million in Notes Payable to related parties as part of a merger with a sister organization. The Notes Payable mature on dates ranging from December 2020 to December 2021 and have interest rates ranging from 1.25% to 2.93%. On October 31, 2020, $4.0 million of related party receivables was used to repay $4.0 million of the Notes Payable to related parties, leaving $4.7 million of Notes Payable to related parties. The Company paid interest of $0.2 million through October 31, 2020. In addition, on December 22, 2020, the remaining $4.7 million of Notes Payable to related parties was forgiven and assigned to BHG Holdings, leaving no remaining Notes Payable to related parties outstanding.</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November 15, 2019, the Company entered into a Credit Agreement with a third-party financial institution. The debt agreement provides for up to $35.0 million in term loans that mature on November 15, 2024 with interest payable monthly at the lesser of LIBOR plus 2.5% or ABR plus 1.5% payable monthly (4.24% at December 31, 2019), plus up to an additional $10.0 million of financing in the form of a revolving loan. The Company borrowed $35.0 million in term loans on November 15, 2019. During the first year of any loans, the financing allows for early repayment of part or all of the term loans in increments of $0.5 million with a pre-payment fee of 1% of any debt prepaid. After the first year from any borrowing, the debt may be repaid without the pre-payment fee. As of September 30, 2021 and December 31, 2020, total term loans outstanding were $33.5 million and $34.1 million, respectively.</w:t>
      </w:r>
    </w:p>
    <w:p>
      <w:pPr>
        <w:spacing w:after="0" w:line="1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17, 2020, the Company increased its capacity under the revolving loan to $15.0 million. No balance is outstanding under the revolving loan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6"/>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51"/>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Statements of Cash Flows Data:</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67,378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42,230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$67.4 million for the nine months ended September 30, 2021, an increase of $25.2 million, compared to $42.2 million for the same period in 2020. Significant changes impacting net cash provided by operating activities for the nine months ended September 30, 2021 compared to the same period in 2020 were as follows: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in (loss) of $(205.9) million from income of $27.1 million during the nine months ended September 30, 2020 to $(178.8) million of net loss during the same period in 2021, primarily driven by the recognition of $228.5 million of stock-based compensation expense related to the modification of vesting terms of options in connection with the Company’s IPO.</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 of $10.8 million in the increase related to accounts receivable, net, which was an increase for the nine months ended September 30, 2021 of $0.7 million compared to the same period in 2020 of $(10.1) million, primarily driven by an increase in accounts receivable, net due to an increase in FFS and VBC revenue.</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 of $(12.6) million related to deferred tax benefit, which was an increase for the nine months ended September 30, 2021 of $(20.4) million as compared to the loss in the same period in 2020 of $(7.8) million, primarily due to the tax benefit generated as a result of the stock-based compensation expense related to the modification of vesting terms of options in connection with the Company’s IPO, which the majority is not currently deductible for tax purposes.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$38.9 million for the year ended December 31, 2020, an increase of $14.5 million, compared to $24.4 million for the year ended December 31, 2019. Significant changes impacting net cash used in operating activities for the year ended December 31, 2020 as compared to the year ended December 31, 2019 were as follows:</w:t>
      </w:r>
    </w:p>
    <w:p>
      <w:pPr>
        <w:spacing w:after="0" w:line="130" w:lineRule="exact"/>
        <w:rPr>
          <w:sz w:val="20"/>
          <w:szCs w:val="20"/>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of $23.0 million related to an increase in net income for the year ended December 31, 2020 of $30.9 million compared to net income for the year ended December 31, 2019 of $7.9 million.</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Increase of $8.9 million due to liability owed by medical practices and providers, which was an increase for the year ended December 31, 2020 of $24.5 million compared to an increase for the year ended December 31, 2019 of $15.6 million. This change is primarily driven by the increase in implemented providers and additional physician and practice expenses associated with the increase in shared savings revenue.</w:t>
      </w:r>
    </w:p>
    <w:p>
      <w:pPr>
        <w:spacing w:after="0" w:line="111"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Increase of $5.0 million in other current liabilities, which was an increase for the year ended December 31, 2020 of $1.7 million compared to a decrease for the year ended December 31, 2019 of $3.3 million. This increase was mainly driven by an increase in unearned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Offset by a $15.6 million increase in accounts receivable, net, which was a decrease for the year ended December 31, 2020 of $21.8 million compared to a decrease for the year ended December 31, 2019 of $6.2 million, primarily driven by the increase in implemented providers and an increase in the receivable related to shared savings revenue.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Further offset by a decrease of $4.1 million in other long-term liabilities, which was an increase for the year ended December 31, 2019 of $0.7 million compared to an increase for the year ended December 31, 2018 of $4.8 million. This change is primarily driven by a tenant improvement allowance provided by the landlord for the office space consolidation.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$24.4 million for the year ended December 31, 2019, an increase of $19.2 million, compared to $5.2 million for the year ended December 31, 2018. Significant changes impacting net cash provided by operating activities for the year ended December 31, 2019 as compared to the year ended December 31, 2018 were as follows:</w:t>
      </w:r>
    </w:p>
    <w:p>
      <w:pPr>
        <w:spacing w:after="0" w:line="130" w:lineRule="exact"/>
        <w:rPr>
          <w:sz w:val="20"/>
          <w:szCs w:val="20"/>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 of $12.1 million related to an increase in net income for the year ended December 31, 2019 of $7.9 million compared to net loss for the year ended December 31, 2018 of $4.2 million.</w:t>
      </w:r>
    </w:p>
    <w:p>
      <w:pPr>
        <w:spacing w:after="0" w:line="11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 of $17.7 million due to liability owed by medical practices and providers, which was an increase for the year ended December 31, 2019 of $15.6 million compared to a decrease for the year ended December 31, 2018 of $2.2 million. This change is primarily driven by the increase in implemented providers.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 of $4.9 million in other long-term liabilities, which was an increase for the year ended December 31, 2019 of $4.8 million compared to a decrease for the year ended December 31, 2018 of $0.1 million. This change is primarily driven by a tenant improvement allowance provided by the landlord for the office space consolidation.</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Offset by a $6.5 million decrease in accounts receivable, net, which was a decrease for the year ended December 31, 2019 of $6.2 million compared to an increase for the year ended December 31, 2018 of $0.3 million, primarily driven by the increase in implemented providers.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Further offset by a decrease of $5.3 million for the change in other current liabilities, due to a decrease for the year ended December 31, 2019 of $3.3 million compared to an increase for the year ended December 31, 2018 of $2.0 million. This decrease was driven by repayment of interest payable of $2.7 million and $0.7 million decrease in unearned revenue.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remained relatively consistent for the nine months ended September 30, 2021 and 2020 and related to purchases of property and equipment in both periods.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$0.4 million for the year ended December 31, 2020, a decrease of $5.3 million compared to $5.7 million for the year ended December 31, 2019. This decrease was driven primarily by leasehold improvements related to the office space buildout that consolidated our corporate offices during 2019.</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$5.7 million for the year ended December 31, 2019, an increase of $5.5 million compared to $0.2 million for the year ended December 31, 2018. This increase was driven primarily by leasehold improvements related to the office space buildout that consolidated our corporate offices.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was $210.5 million for the nine months ended September 30, 2021, an increase of $211.0 million, compared to $(0.5) million used for financing activities for the same period in 2020.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primarily related net proceeds from the Company’s IPO of $211.0 million during nine months ended September 30, 2021, and net proceeds from stock options exercised of $0.6 million.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$0.8 million for the year ended December 31, 2020, a decrease of $10.1 million, compared to $10.9 million for the year ended December 31, 2019. This decrease primarily relates to repayments made in 2019 for note payable to related parties that did not take place in 2020 ($15.3 million), offset by the net $5.0 million increase in note payable in 2019.</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$10.9 million for the year ended December 31, 2019, a decrease of $26.2 million, compared to $15.3 million for the year ended December 31, 2018. This increase was driven primarily by the repayment of investor promissory note $15.3 million, offset by the additional $5.0 million borrowed from Silicon Valley Bank.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as of December 31, 2020 and as of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Company’s significant commitments and contractual obligations as of December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8"/>
              </w:rPr>
              <w:t>Payment Due by Period</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0"/>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1 to 3 Year</w:t>
            </w: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4 to 5 Year</w:t>
            </w:r>
          </w:p>
        </w:tc>
        <w:tc>
          <w:tcPr>
            <w:tcW w:w="18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3"/>
                <w:szCs w:val="13"/>
                <w:b w:val="1"/>
                <w:bCs w:val="1"/>
                <w:color w:val="auto"/>
                <w:w w:val="95"/>
              </w:rPr>
              <w:t>More than 5 Year</w:t>
            </w:r>
          </w:p>
        </w:tc>
      </w:tr>
      <w:tr>
        <w:trPr>
          <w:trHeight w:val="22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 principal</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55"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in the table reflect the contractually required interest payable pursuant to borrowings under our Note Payable related to our Credit Agreement. Interest payments in the table above were calculated using interest rates of 3.0% for the Note Payable which was the average interest rate applicable to the borrowing as of December 31, 2020.</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our contractual payment obligations under our operating leases for office and long-term debt indicated in the table above. For purposes of the table above, purchase obligations are defined as agreements to purchase goods or services that are enforceable, legally binding, non-cancelable, have a remaining term in excess of one year and that specify all significant terms, including: fixed or minimum quantities to be purchased; fixed, minimum or variable pricing provisions; and the approximate timing of transactions. The amounts are based on our contractual commitments. Refer to Note 12 in the annual financial statement and Note 11 in the interim financial statements, “Commitments and Contingencies,” for further discussion on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emerging growth company under the JOBS Act. The JOBS Act provides that an emerging growth company can delay adopting new or revised accounting standards until such time as those standards apply to private companies. We have irrevocably elected to avail ourselves of this exemption and, therefore, we will not be subject to the same new or revised accounting standards as other public companies that are not emerging growth companies.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related items such as the correlation between executive compensation and performance and comparisons of the CEO’s compensation to median employee compensation. These exemptions will apply for a period of five years from our initial public offering or until we are no longer an “emerging growth company,” whichever is earlier.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Note 1, “Summary of Significant Accounting Policies,” to our consolidated financial statements included elsewhere in this prospectus, we believe that the following accounting policies are those most critical to the judgments and estimates used in the preparation of our consolidated financial statements. In addition, refer to Note 2, “Accounting Pronouncements,” in our consolidated financial statements for a summary of recent and pending accounting standards.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Revenue for the year ended December 31, 2018 is presented under ASC Topic 605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ASC 605, we recognized revenue when all of the following criteria were met: Persuasive evidence of an arrangement exists; the sales price is fixed or determinable; collection is reasonably assured; and services have been rendered.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Beginning January 1, 2019,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approach.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13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cumulative effect of initially adopting ASC 606 was limited to reclassification of bad debt expense, from a general and administrative expense in 2018 to a contra revenue account in 2019 in the amount of $1.5 million for 2019. Bad debt expense had historically been reported within general and administrative expenses, separately from patient service revenue. Under ASC 606, the Company estimates implicit price concessions related to self-pay balances as part of estimating the original transaction price and reports such estimates as reduction of transaction price. The key judgments applicable to revenue recognition under ASC 605 and ASC 606 are similar and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FFS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FFS-patient care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FFS-patient care revenue is primarily generated from providing healthcare services to patients. Providing medical services to patients represents our performance obligation under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10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nine months ended September 30, 2021 and 2020 and the twelve months ended December 31, 2020, 2019 and 2018, changes in the Company’s estimates of implicit price concessions and contractual adjustments to expected payments for performance obligations satisfied in prior periods were not significant.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FFS-administrative services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MSAs with Non-Owned Medical Groups.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MSAs with the Non-Owned Medical Groups range from 5 –20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revenue.</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Administrative fees are reported at the amount that reflects the consideration to which the Company expects to be entitled in exchange for the provision of administration and management services to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No rebates have been earned as of September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VBC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VBC business consists of its clinically integrated network and Accountable Care Organizations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per member per month (PMPM) basis and (2) on a shared savings basis.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Care Management Fees (PMPM)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Shared Savings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the shared savings basis, the Company is offered financial incentives to increase its accountability for the cost, quality and efficiency of the care provided to the population of attributed members. The Company is paid the financial incentives when, for a given twelve-month measurement period, its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 No funds were received from the Provider Relief Funds under the CARES Act have been recorded within other revenue on the statement of operation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w:t>
      </w:r>
    </w:p>
    <w:p>
      <w:pPr>
        <w:spacing w:after="0" w:line="2" w:lineRule="exact"/>
        <w:rPr>
          <w:sz w:val="20"/>
          <w:szCs w:val="20"/>
          <w:color w:val="auto"/>
        </w:rPr>
      </w:pPr>
    </w:p>
    <w:p>
      <w:pPr>
        <w:jc w:val="both"/>
        <w:ind w:firstLine="8"/>
        <w:spacing w:after="0" w:line="255" w:lineRule="auto"/>
        <w:tabs>
          <w:tab w:leader="none" w:pos="2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Company evaluated its relationship with the Non-Owned Medical Groups and their Affiliated Practices as well as its relationship with Affiliated Practices associated with Owned Medical Groups to determine if any of these entities should be subject to consolidation. The Company does not have ownership interest in any Affiliated Practices; nor does the Company have an ownership in Non-Owned Medical Groups. The PMSA and SSA entered by Non-Owned Medical Groups with their Privia Physician members and the Affiliated Practices are not contractual relationships within Privia’s legal structure. The only contractual relationship between Privia and Non-Owned Medical Groups is established through the MSA. Management has determined, based on the provisions of the service agreements between the Company and Non-Owned Medical Groups and after considering the requirements of Accounting Standards Codification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Company is not required to consolidate the financial position or results of operations of the Affiliated Practices associated with Owned Medical Groups; nor is it required to consolidated the financial position or results of operations of Non-Owned Medical Groups (and, therefore, the Company is not required to consolidate the Affiliated Practices of the Non-Owned Medical Groups).</w:t>
      </w:r>
    </w:p>
    <w:p>
      <w:pPr>
        <w:spacing w:after="0" w:line="1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ASC 810 requires the Company to consolidate the financial position, results of operations and cash flows of a Non-Owned Medical Group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characteristics of both (a) and (b) do not exist and as such the Non-Owned Medical Group do not represent VIEs. Accordingly, the Company has not consolidated the financial position, results of operations or cash flows of the Non-Owned Medical Group by means of a service agreement for the years ended December 31, 2020, 2019 and 2018.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Goodwill represents the excess of the aggregate purchase price over the estimated fair value of net assets acquired in accordance with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805”). In accordance with ASC Topic 350,</w:t>
      </w:r>
      <w:r>
        <w:rPr>
          <w:rFonts w:ascii="Arial" w:cs="Arial" w:eastAsia="Arial" w:hAnsi="Arial"/>
          <w:sz w:val="17"/>
          <w:szCs w:val="17"/>
          <w:i w:val="1"/>
          <w:iCs w:val="1"/>
          <w:color w:val="auto"/>
        </w:rPr>
        <w:t xml:space="preserve"> Intangibles—Goodwill and Other </w:t>
      </w:r>
      <w:r>
        <w:rPr>
          <w:rFonts w:ascii="Arial" w:cs="Arial" w:eastAsia="Arial" w:hAnsi="Arial"/>
          <w:sz w:val="17"/>
          <w:szCs w:val="17"/>
          <w:color w:val="auto"/>
        </w:rPr>
        <w:t>(“ASC 350”), goodwill is recognized as an</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is tested for impairment annually and between annual tests whenever events or changes in circumstances indicate that impairment may have occurred. Goodwill impairment is assessed based on a comparison of the estimated fair value of each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underlying carrying value of the reporting unit’s net assets, including goodwill. An impairment charge is recognized for the amount that the carrying value exceeds the reporting unit’s fair value. For purposes of the goodwill impairment evaluation, the Company as a whole is considered the reporting unit. The estimated fair value is generally determined using a combination of discounted cash flow analysis and earnings multiplied by a price/earnings ratio for comparable companies. Potential impairment is indicated when the carrying value of a reporting unit, including goodwill, exceeds its estimated fair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primary market risk exposure is changing prime rate-based interest rates. Interest rate risk is highly sensitive due to many factors, including U.S. monetary and tax policies, U.S. and international economic factors and other factors beyond our control. Our Loan Agreement bears interest at a floating rate equal to the lesser of LIBOR plus 2.0% or ABR plus 1.0%. As of December 31, 2020, we had total outstanding debt of $34.1 million in principal amount under the Loan Agreement. As of September 30, 2021, we had total outstanding debt of $33.5 million in principal amount under the Loan Agreement. Based on the amount outstanding as of September 30, 2021, a 100 basis point increase or decrease in market interest rates over a twelve-month period would result in a change to interest expense of $0.3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our Privia Providers joining our Medical Groups. Our Medical Groups are designated as in-network by all major health insurance plans in all of our markets, and all Privia Providers are credentialed with such health insurance plans. Our platform is purpose-built, organizing physicians into cost efficient, value-based and primary-care centric networks bolstered by strong physician governance, and promotes a culture of physician leadership. The Privia Platform is powered by the Privia Technology Solution, which efficiently manages all aspects of our Privia Physicians’ provision of healthcare services and eliminates the complexity and reduces the cost of otherwise having to buy more than 30 point solutions. We enhance the patient experience, improve practice economics and influence point of care delivery through investments in data analytics, RCM, practice and clinical operations and payer alignment. The Privia Platform is designed to succeed across demographic cohorts, acuity levels and reimbursement models, including traditional FFS Medicare,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has rapidly become one of the nation’s leading independent physician companies since launching our first Medical Group in 2013.</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71" w:lineRule="exact"/>
        <w:rPr>
          <w:sz w:val="20"/>
          <w:szCs w:val="20"/>
          <w:color w:val="auto"/>
        </w:rPr>
      </w:pPr>
    </w:p>
    <w:p>
      <w:pPr>
        <w:ind w:left="660" w:hanging="328"/>
        <w:spacing w:after="0" w:line="277"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116" w:lineRule="exact"/>
        <w:rPr>
          <w:rFonts w:ascii="Arial" w:cs="Arial" w:eastAsia="Arial" w:hAnsi="Arial"/>
          <w:sz w:val="18"/>
          <w:szCs w:val="18"/>
          <w:color w:val="auto"/>
        </w:rPr>
      </w:pPr>
    </w:p>
    <w:p>
      <w:pPr>
        <w:ind w:left="660" w:hanging="328"/>
        <w:spacing w:after="0" w:line="277"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Privia Platform is powered by the Privia Technology Solution, which efficiently manages all aspects of our Privia Physicians’ provision of healthcare services and eliminates the complexity and reduces the cost of otherwise having to buy more than 30 point solutions. The intended result is engaged physicians and non-physician clinicians delivering virtual and in-person high quality healthcare to patients with superior clinical outcomes and experiences at lower costs. We believe our technology-enabled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multiple types of physician practices given our significant value proposition and our comprehensive solution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112" w:lineRule="exact"/>
        <w:rPr>
          <w:sz w:val="20"/>
          <w:szCs w:val="20"/>
          <w:color w:val="auto"/>
        </w:rPr>
      </w:pPr>
    </w:p>
    <w:p>
      <w:pPr>
        <w:ind w:left="660" w:hanging="328"/>
        <w:spacing w:after="0" w:line="282"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w:t>
      </w:r>
      <w:r>
        <w:rPr>
          <w:rFonts w:ascii="Arial" w:cs="Arial" w:eastAsia="Arial" w:hAnsi="Arial"/>
          <w:sz w:val="18"/>
          <w:szCs w:val="18"/>
          <w:color w:val="auto"/>
        </w:rPr>
        <w:t>Targets a large and growing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 market estimated to be $1.9 trillion,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an ability to serve over 1 million providers in the U.S.).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 primary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care physicians and more than 535,000 physician specialists in the U.S.).</w:t>
      </w:r>
    </w:p>
    <w:p>
      <w:pPr>
        <w:spacing w:after="0" w:line="107" w:lineRule="exact"/>
        <w:rPr>
          <w:rFonts w:ascii="Arial" w:cs="Arial" w:eastAsia="Arial" w:hAnsi="Arial"/>
          <w:sz w:val="18"/>
          <w:szCs w:val="18"/>
          <w:color w:val="auto"/>
        </w:rPr>
      </w:pPr>
    </w:p>
    <w:p>
      <w:pPr>
        <w:jc w:val="both"/>
        <w:ind w:left="660" w:right="20" w:hanging="328"/>
        <w:spacing w:after="0" w:line="26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the full continuum of reimbursement environments as well as both virtual and in-person care settings </w:t>
      </w:r>
      <w:r>
        <w:rPr>
          <w:rFonts w:ascii="Arial" w:cs="Arial" w:eastAsia="Arial" w:hAnsi="Arial"/>
          <w:sz w:val="18"/>
          <w:szCs w:val="18"/>
          <w:i w:val="1"/>
          <w:iCs w:val="1"/>
          <w:color w:val="auto"/>
        </w:rPr>
        <w:t>(eliminates the need to buy and</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 more than 30 point solutions).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 patients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(over 850 care center locations across seven states and the District of Columbia, targeting over 100 MPSAs located within those geographical markets).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 the care model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of Privia Providers to manage higher risk patients </w:t>
      </w:r>
      <w:r>
        <w:rPr>
          <w:rFonts w:ascii="Arial" w:cs="Arial" w:eastAsia="Arial" w:hAnsi="Arial"/>
          <w:sz w:val="18"/>
          <w:szCs w:val="18"/>
          <w:i w:val="1"/>
          <w:iCs w:val="1"/>
          <w:color w:val="auto"/>
        </w:rPr>
        <w:t>(more than $575 million total savings generated across Commercial, Medicare</w:t>
      </w:r>
      <w:r>
        <w:rPr>
          <w:rFonts w:ascii="Arial" w:cs="Arial" w:eastAsia="Arial" w:hAnsi="Arial"/>
          <w:sz w:val="18"/>
          <w:szCs w:val="18"/>
          <w:color w:val="auto"/>
        </w:rPr>
        <w:t xml:space="preserve"> </w:t>
      </w:r>
      <w:r>
        <w:rPr>
          <w:rFonts w:ascii="Arial" w:cs="Arial" w:eastAsia="Arial" w:hAnsi="Arial"/>
          <w:sz w:val="18"/>
          <w:szCs w:val="18"/>
          <w:i w:val="1"/>
          <w:iCs w:val="1"/>
          <w:color w:val="auto"/>
        </w:rPr>
        <w:t>Advantage, Medicare Shared Savings, and Medicaid since 2014; patient NPS of 85).</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Privia Provider retention rate over the past four years in addition to a six-time (2016-2021) HFMA MAP Award recipient for high performance in revenue cycle).</w:t>
      </w:r>
    </w:p>
    <w:p>
      <w:pPr>
        <w:spacing w:after="0" w:line="12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Generates Attractive Financial Results: </w:t>
      </w:r>
      <w:r>
        <w:rPr>
          <w:rFonts w:ascii="Arial" w:cs="Arial" w:eastAsia="Arial" w:hAnsi="Arial"/>
          <w:sz w:val="18"/>
          <w:szCs w:val="18"/>
          <w:color w:val="auto"/>
        </w:rPr>
        <w:t>Has an established scale, diversified revenue mix with no single payer or individual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concentration, and is profitable and capital efficient with attractive growth </w:t>
      </w:r>
      <w:r>
        <w:rPr>
          <w:rFonts w:ascii="Arial" w:cs="Arial" w:eastAsia="Arial" w:hAnsi="Arial"/>
          <w:sz w:val="18"/>
          <w:szCs w:val="18"/>
          <w:i w:val="1"/>
          <w:iCs w:val="1"/>
          <w:color w:val="auto"/>
        </w:rPr>
        <w:t>(for the year ended December 31, 2020, approximately $817 million in</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and $1.3 billion total practice collections and for the nine months ended September 30, 2021, approximately $690.9 million in revenue and $1.11 billion in total practice collections, high return on invested capital with superior unit economics and high free cash flow conversion)</w:t>
      </w:r>
      <w:r>
        <w:rPr>
          <w:rFonts w:ascii="Arial" w:cs="Arial" w:eastAsia="Arial" w:hAnsi="Arial"/>
          <w:sz w:val="18"/>
          <w:szCs w:val="18"/>
          <w:color w:val="auto"/>
        </w:rPr>
        <w:t>.</w:t>
      </w:r>
      <w:r>
        <w:rPr>
          <w:rFonts w:ascii="Arial" w:cs="Arial" w:eastAsia="Arial" w:hAnsi="Arial"/>
          <w:sz w:val="18"/>
          <w:szCs w:val="18"/>
          <w:i w:val="1"/>
          <w:iCs w:val="1"/>
          <w:color w:val="auto"/>
        </w:rPr>
        <w:t xml:space="preserve"> See “Key Metrics” for a discussion of practice collections.</w:t>
      </w:r>
    </w:p>
    <w:p>
      <w:pPr>
        <w:spacing w:after="0" w:line="129"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 payer,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healthcare information technology organizations.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our model is highly scalable. Privia currently operates in seven states and the District of Columbia, covering over 100 target MPSAs (including over 30 out of the largest 100 MPSAs). We aim to build relevance in each of our markets with all key constituents (physicians, non-physician clinicians, patients, government programs, commercial payers and employers). Privia started by partnering with small and large independent physician practices focused on primary care, pediatrics, women’s health, and select subspecialties focused on treating chronically ill patients. We now have more than 3,150 providers who have signed to join our platform as of September 30, 2021 (excluding the number of signed providers in our California and West Texas markets). Of these, we have approximately 2,830 service professionals on our platform who are credentialed and bill for medical services, in both owned and Non-Owned Medical Groups, as of September 30, 2021. Once a provider signs an agreement to join Privia, there is a five-to-eight month period on average before that provider is implemented on our platform. This time lag between signing and implementing a provider gives us very high visibility into total practice collections over a forward twelve-month period. Our implemented providers operate in over 850 care center locations providing care to over 3 million patients, including approximately 474,000 commercial attributed lives, approximately 103,000 Medicare Advantage attributed lives, 141,000 Medicare Shared Savings / Maryland CPC+ Program attributed lives, and over 42,000 Medicaid attributed lives. In addition, we currently have over 170,000 patients aging into Medicare over the next five years. Our confidence in our business model is based on our belief that the Privia Platform works across all geographies and will allow us to enter many new markets across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country over the coming decades and fundamentally move those markets to VBC. We recently began offering Privia Care Partners, a more flexible provider affiliation model, to providers who do not desire to join one of our medical groups. This model will initially aggregate providers in certain of our existing markets as well as new markets who are looking solely for VBC solutions without the necessity of changing EHR providers. We will continue to furnish population health services, reporting and analytics to such providers along with a menu of management services from which providers may choose. We expect to launch Privia Care Partners on January 1, 2022 with over 25,000 attributed lives in partnership with over 300 providers in approximately 100 care center locations.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Privia Physicians join the Medical Group in their geographic market as an owner of the Medical Group. Certain of our Medical Groups are majority-owned by us (each, an “Owned Medical Group”), with Privia Physicians owning a minority interest. However, in those markets in which state regulations do not allow us to own physician practices, the Medical Groups are owned entirely by Privia Physicians. We provide management services to each Medical Group though a local MSO established with the objective of maximizing the independence and autonomy of our Affiliated Practices, while providing Medical Groups with access to VBC opportunities either directly or through Privia-owned ACOs. In markets with Non-Owned Medical Groups, we earn revenue by providing administrative and management services through owned MSO entities (FFS-administrative services revenue).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The Medical Groups have no ownership in the underlying Affiliated Practices, but the Affiliated Practices do provide certain services to the Medical Groups, such as use of space, non-physician staffing, equipment and supplies. We principally derive our revenues from the following three sources: (i) FFS-patient care revenue generated from providing healthcare services to patients through Privia Providers of Owned Medical Groups and FFS-administrative services earned for administrative services provided to our Non-Owned Medical Groups, (ii) VBC revenue collected on behalf of our Privia Providers in the form of management and administrative fees, which, at this time, are primarily in the form of PMPM fees and shared savings, which includes quality bonuses, and (iii) other revenue from additional services offered by Privia to its Privia Providers or directly to patients or employers. The operations of our Owned Medical Groups, owned ACOs and owned MSOs are reflected within our consolidated financial results.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experienced strong organic revenue growth since inception and meaningful leveraging of our cost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Financial Measures</w:t>
      </w:r>
    </w:p>
    <w:p>
      <w:pPr>
        <w:spacing w:after="0" w:line="175" w:lineRule="exact"/>
        <w:rPr>
          <w:sz w:val="20"/>
          <w:szCs w:val="20"/>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Revenue was $690.9 million and $603.4 million for the nine months ended September 30, 2021 and 2020, respectively, and $817.1 million, $786.4 million and $657.6 million in 2020, 2019 and 2018, respectively;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(loss) income was $(198.1) million and $21.2 million for the nine months ended September 30, 2021 and 2020, respectively, and $25.4 million, $16.1 million and $2.2 million in 2020, 2019 and 2018, respectively;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(loss) income attributable to Privia Health Group, Inc. was $(176.3) million and $27.4 million for the nine months ended September 30, 2021 and 2020, respectively, and $31.2 million, $8.2 million and $(3.0) million, in 2020,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75" w:lineRule="exact"/>
        <w:rPr>
          <w:sz w:val="20"/>
          <w:szCs w:val="20"/>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Practice Collections was $1.11 billion and $949.0 million for the nine months ended September 30, 2021 and 2020, respectively, and $1,301.1 million, $1,135.7 million and $930.4 million in 2020, 2019 and 2018, respectively;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Care Margin was $169.8 million and $136.3 million for the nine months ended September 30, 2021 and 2020 respectively, and $187.6 million, $163.7 million and $129.7 million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Platform Contribution was $79.8 million and $59.2 million for the nine months ended September 30, 2021 and 2020, respectively; and $82.6 million, $68.5 million and $56.5 million in 2020, 2019 and 2018, respectively;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Adjusted EBITDA was $33.9 million and $23.2 million for the nine months ended September 30, 2021 and 2020, respectively, and $29.4 million, $18.1 million and $8.9 million in 2020, 2019 and 2018,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adjusted EBITDA, a non-GAAP measure, is useful in evaluating our operating performance. See “Selected Consolidated Financial and Other Data—Non-GAAP Financial Measures.”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Privia Health is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the physicians’ administrative burden and help accelerate the transition to VBC. This model creates a differentiated experience that is patient-centric, physician-led and payer-agnostic. As a result, we enable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Privia Operating Model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Privia operating model has the following characteristics:</w:t>
      </w:r>
    </w:p>
    <w:p>
      <w:pPr>
        <w:spacing w:after="0" w:line="17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Proven, scalable, replicable and flexible;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Single TIN Medical Group, primary care-oriented in each local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services and clinical organization enabled by the Privia Technology Solution;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Market specific strategies—Accountable Care Organizations and ancillary services (e.g., clinical lab, pharmacy and imaging) based on market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1014730</wp:posOffset>
            </wp:positionV>
            <wp:extent cx="5212080" cy="2237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2120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Privia Platform is powered by the Privia Technology Solution, which optimizes provider workflow across the full continuum of reimbursement arrangements. The platform supports multiple provider types (51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provider well-being and patient satisfaction.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11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Privia is changing healthcare: </w:t>
      </w:r>
      <w:r>
        <w:rPr>
          <w:rFonts w:ascii="Arial" w:cs="Arial" w:eastAsia="Arial" w:hAnsi="Arial"/>
          <w:sz w:val="16"/>
          <w:szCs w:val="16"/>
          <w:color w:val="auto"/>
        </w:rPr>
        <w:t>We meet providers where they are on the value continuum and partner with health plans, health systems,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to align reimbursements to quality, outcomes, and performance. Our model has proven to be successful and replicable across multiple geographies. Our platform is led by top industry talent, exceptional physician leadership, and consists of scalable operations, and end-to-end, cloud based technology that reduces unnecessary healthcare costs, achieves better outcomes, and improves the health of patients and the well-being of providers.</w:t>
      </w:r>
    </w:p>
    <w:p>
      <w:pPr>
        <w:spacing w:after="0" w:line="1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tailored solutions are designed to enable providers to practice medicine efficiently and effectively, thrive in both FFS and VBC environments, and improve the quality of their patient interactions, all of which lead to improved patient outcomes. We further enable our medical groups to succeed as the payer, patient and employer needs shift over time in each of our markets.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management services organization in each local market, (iv) building ACOs to capture VBC opportunities, and (v) offering a high quality, low cost provider network for purchasers and payers.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the U.S. healthcare system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Physicians Confront Today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Physicians across the country face tremendous challenges in managing their practices. Care delivery platforms today are not set up to succeed in different reimbursement models as healthcare shifts to VBC. We believe there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survey of 700+ clinicians, clinical leaders and health care executives conducted by NEJM Catalyst and reported in April 2018 found the following:</w:t>
      </w:r>
    </w:p>
    <w:p>
      <w:pPr>
        <w:spacing w:after="0" w:line="194"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83% see physician burnout as a moderate or serious problem;</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82% believe that interventions to alleviate burnout should be targeted at the organizational level (e.g. systems and infrastructure enhancements);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54% identify off-loading clerical tasks (e.g. to scribes, population health facilitators) and 46% feel initiatives to improve electronic medical records and other IT systems would be helpful in reducing physician burnout.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Rising Healthcare Costs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Healthcare spending in the United States reached nearly $3.8 trillion in 2019 according to CMS, representing approximately 17.7% of U.S. GDP. According to a 2017 study, the United States spends $10,209 per person on healthcare each year, more than any other country in the world and twice the OECD average. National health expenditures are projected to grow 4% per year from 2018 to 2027 according to CMS, outpacing both GDP and inflation expectations. Privia’s solutions help rein in healthcare costs, while improving patient experience and provider efficiency.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Wasteful Spending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2019 study by the Journal of American Medical Association (JAMA) estimated that approximately 25% of all healthcare spending is for unnecessary services, excessive administrative costs, fraud and other problems creating waste, implying approximately $760 billion to $935 billion of annual wasteful spending at current levels. In 2017, hospital care accounted for the largest portion of healthcare spending in the United States, representing 33% of the total. Proper management of chronic conditions can significantly reduce the incidence of acute episodes, which are the main drivers of trips to the emergency room and hospitalization, particularly among the elderly.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Sub-optimal Results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Despite high levels of spending, the United States healthcare system struggles to produce better health outcomes and to keep doctors and patients satisfied. Life expectancy in the United States was 78.6 years in 2017, compared to 82.2 years in comparable developed countries, and patient satisfaction with the healthcare system is low, as evidenced by a Net Promoter Score of 35 for the average primary care physician as shown in a WD Partners study conducted in 2019.</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build cost efficient primary care delivery networks in each of our markets to align incentives with public and commercial payers. We use our end-to-end, cloud-based technology-enabled platform to identify quality gaps, generate actionable reports and alerts, and, automate patient outreach and education, to improve care coordination and reduce wasteful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 to VBC</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There are fundamental challenges and opportunities for improvement in the delivery of healthcare in the United States. Historically, healthcare delivery has centered on reactive care to acute events, which resulted in the development of an FFS payment model. By linking payments to volume of encounters and pricing for higher complexity interventions, the FFS model does not reward prevention, but rather unintentionally incentivizes the treatment of acute care episodes as they occur. The trend toward value-based payment systems has been supported at both the patient and policymaker level. We believe there is demand for technology-driven disruption that would shift the healthcare system to a value-based model. Our integrated platform enabled by data and technology has the potential to revolutionize the healthcare industry. As each geographic market evolves in its shift towards VBC, with our experience working in all reimbursement environments, Privia meets providers where they are on their transformative journey and enables them to accelerate and succeed in their transition.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multiple new markets nationally over the next decade. We currently operate in seven states and the District of Columbia, with over 3,250 implemented physicians and providers, covering over 3 million patients. We believe we address a market opportunity of more than $1.9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74295</wp:posOffset>
            </wp:positionV>
            <wp:extent cx="4954905" cy="2057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5490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understand that healthcare is local and that providers understand the unique needs of their patients and their community. With these issues in mind, Privia has been purpose-built to address a large market opportunity. Unlike peers who focus only on point solutions or narrow patient cohorts, we offer a national platform with hyper-localized solutions that meet the needs of physicians, patients and payers. We offer these dedicated providers the benefits of a larger organization while preserving their existing ownership and affiliation structures. Privia collaborates with an anchor medical group or a health system that has a strong reputation, physician leadership, and interest in embracing and amplifying VBC in its local market. We then develop a network around leading primary care providers and specialists.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2020, CMS expects the commercial beneficiary market to represent approximately $1.4 trillion of aggregate healthcare spend in the United States, with Medicare and Medicaid representing $850 billion and $650 billion, respectively, for a total of $3 trillion in overall U.S. healthcare spend. Nephron Research estimated in its January 2021 research report titled “The Dawn of Physician Enablement: Defining Healthcare in the 2020s” that the “physician enablement” market in which we participate represents up to $1.9 trillion of that total healthcare spend. We believe the flexibility of our model uniquely positions us to address this large market opportunity.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Privia Health was founded with a mission to improve and transform healthcare in order to enable doctors and their teams to focus on providing patients with high quality healthcare. In 2013, we launched Privia Medical Group with our first practice in Virginia. The following year, we expanded across the Mid-Atlantic region to Maryland and Washington D.C. In 2015, we launched our Georgia and South Texas markets. In 2016, we launched our group in North Texas. That same year, the Washington Post named Privia Health one of the “Top Workplaces” for a second consecutive year. In 2017, The Advisory Board Company listed Privia Health as one of the “Workplaces of the year” for employee engagement. In 2018, our current CEO, Shawn Morris joined and we also launched our Women’s Health specialty vertical. In 2019, we launched our Florida market and in 2020, we launched in Tennessee, started the Privia Pediatrics vertical, and announced a strategic alliance with a prominent children’s hospital in Texas. In addition, we received our sixth consecutive HFMA MAP award for high performance in revenue cycle (2016-2021). From 2015 to 2020, we have averaged a 34% annual growth rate in providers joining our platform, which has resulted in a total attributed lives growth rate of 38%.</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Implemented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120015</wp:posOffset>
            </wp:positionV>
            <wp:extent cx="3446145" cy="129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4614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Attributed Lives in Value-Based Programs Growth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120015</wp:posOffset>
            </wp:positionV>
            <wp:extent cx="3343275" cy="2074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327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define attributed lives as patients that a payer identifies in any VBC program that Privia medical group is specifically responsible for managing.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Reimbursement for managing these patients is partially or fully based on controlling the total cost of care and / or improving certain quality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116205</wp:posOffset>
            </wp:positionV>
            <wp:extent cx="5349240" cy="2417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operate in seven states and the District of Columbia with over 3,250 implemented providers and more than 850 care center locations, targeting over 100 MPSAs (including over 30 out of the largest 100 MPSAs), and an addressable population of over 120 million. We define a market as a geographic area covered by one of our medical groups under a single-TIN. A market could comprise a single state, part of a state or a group of multiple states. Once we enter a market with an anchor medical group or health system, we establish provider density using an in-market and national sales and marketing team. We accelerate our go-to-market strategy using on the ground market intelligence and a data driven approach to add new practices to our medical group. As our medical groups grow, we transition our markets to value-based programs as demonstrated by the increase in our attributed risk lives across various programs.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Engineered to be Scalable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120015</wp:posOffset>
            </wp:positionV>
            <wp:extent cx="4251960" cy="2211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5196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aim to build relevance in each of our markets with all key constituents (physicians, non-physician clinicians, patients, government programs, commercial payers and employers). We start by partnering with small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and large independent practices focused on primary care, pediatrics, women’s health, and select subspecialties focused on treating chronically ill patients.</w:t>
      </w:r>
    </w:p>
    <w:p>
      <w:pPr>
        <w:spacing w:after="0" w:line="1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While we have historically partnered with independent physician practices, we recently formed a joint venture with a leading regional health system in Florida to both support its current employed providers and expand its reach by attracting independent providers in the region into the medical group.</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the breadth of our approach represents a tremendous opportunity for Privia to provide an alternative physician alignment model to independent provider groups, health systems, and other Privia Providers.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deliberate focus on i) serving patients across the continuum of care, ii) succeeding in all reimbursement environments, iii) aligning with diverse provider groups in a capital efficient manner and iv) expanding nationally across multiple markets have led us to scale our operations meaningfully since inception. Our current scale, corporate, and technology infrastructure, payer and provider relationships and profitability, allow us to expediently enter and achieve profitability in each new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Privia Platform is Designed to Transform the Way Physicians Practice Medicine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management services organization in each local market, (iv) building ACOs to capture VBC opportunities, and (v) offering a high quality, low cost provider network for purchasers and payers.</w:t>
      </w:r>
    </w:p>
    <w:p>
      <w:pPr>
        <w:spacing w:after="0" w:line="11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Technology and Population Health: </w:t>
      </w:r>
      <w:r>
        <w:rPr>
          <w:rFonts w:ascii="Arial" w:cs="Arial" w:eastAsia="Arial" w:hAnsi="Arial"/>
          <w:sz w:val="16"/>
          <w:szCs w:val="16"/>
          <w:color w:val="auto"/>
        </w:rPr>
        <w:t>Too often technology works against, rather than for, providers and patients. The Privia Technology Solution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designed with our physicians’ and patients’ input to enhance their workflows in both FFS and VBC settings, increasing patient engagement across all stages of a visit, including 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w:t>
      </w:r>
      <w:r>
        <w:rPr>
          <w:rFonts w:ascii="Arial" w:cs="Arial" w:eastAsia="Arial" w:hAnsi="Arial"/>
          <w:sz w:val="16"/>
          <w:szCs w:val="16"/>
          <w:i w:val="1"/>
          <w:iCs w:val="1"/>
          <w:color w:val="auto"/>
        </w:rPr>
        <w:t>MyPrivia</w:t>
      </w:r>
      <w:r>
        <w:rPr>
          <w:rFonts w:ascii="Arial" w:cs="Arial" w:eastAsia="Arial" w:hAnsi="Arial"/>
          <w:sz w:val="16"/>
          <w:szCs w:val="16"/>
          <w:color w:val="auto"/>
        </w:rPr>
        <w:t xml:space="preserve"> app, patients can schedule and complete a virtual visit, securely message providers and their care teams, schedule an office appointment, find care options within the Privia network, and access the patient portal. Our technology and tools embed workflow and insights directly into our EMR system so providers can seamlessly assess patients’ health, 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Privia manages the complexity in the background in order to create a unified workflow and experience for our Medical Groups, Privia Providers, their staff and patients. For example, Privia uses APIs with systems and data exchanges so that our Privia Providers do not need to access other systems during a patient visit, and our EMR interfaces generate approximately 8 million messages on a monthly basis. After the visit, our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HIMSS Innovation Award for our exceptional PRQD program that collects required quality data directly from patients and automatically loads the results into patient records. Our proprietary virtual visit technology is fully integrated into our platform. As of September 30, 2021, our virtual visit platform had logged over 1.4 million visits, conducted by over 2,400 providers, across more than 45 medical specialties. The Privia Technology Solution is the cornerstone to our Medical Groups and ACOs’ ability to succeed across patient demographic cohorts and multiple lines of business (Medicare, Medicare Advantage, MSSP, commercial,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and Population Health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PRIVIA TECHNOLOGY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116840</wp:posOffset>
            </wp:positionV>
            <wp:extent cx="4937760" cy="2768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377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Single-TIN Medical Group: </w:t>
      </w:r>
      <w:r>
        <w:rPr>
          <w:rFonts w:ascii="Arial" w:cs="Arial" w:eastAsia="Arial" w:hAnsi="Arial"/>
          <w:sz w:val="17"/>
          <w:szCs w:val="17"/>
          <w:color w:val="auto"/>
        </w:rPr>
        <w:t>In each of our markets, we build a primary care centric single-TIN Medical Group that facilitates payer negotiation,</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integration and alignment of financial incentives. Our Medical Group governance structure allows Privia Providers to build a clinical culture that adapts to consumers’ and a region’s unique and evolving needs. Privia Providers in our Medical Groups collaborate in POD meetings to review performance data, share best practices, create an environment of accountability, and advance evidence-based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 xml:space="preserve">Management Services Organization: </w:t>
      </w:r>
      <w:r>
        <w:rPr>
          <w:rFonts w:ascii="Arial" w:cs="Arial" w:eastAsia="Arial" w:hAnsi="Arial"/>
          <w:sz w:val="18"/>
          <w:szCs w:val="18"/>
          <w:color w:val="auto"/>
        </w:rPr>
        <w:t>Privia enables our Privia Providers to focus on their patients, not paperwork. Our market-level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organizations leverage our scale to reduce administrative work, increase efficiency, and lower direct costs for our Privia Providers. Our payer contracting team works with multiple private and government payers across markets to construct and participate in VBC programs. As a six-time consecutive recipient of the prestigious HFMA MAP Award, our RCM team meets the high standards for financial results and patient satisfaction. Our team of performance consultants conduct business operations reviews and audits to optimize our Privia Physicians’ finances and productivity. Our procurement team develops opportunities to reduce practice expenses through participation in group purchasing. Our analytics team enables our Privia Providers to make more data-driven decisions on financial, operational, and clinical initiatives, resulting in same store practice growth across both FFS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Accountable Care Organization: </w:t>
      </w:r>
      <w:r>
        <w:rPr>
          <w:rFonts w:ascii="Arial" w:cs="Arial" w:eastAsia="Arial" w:hAnsi="Arial"/>
          <w:sz w:val="16"/>
          <w:szCs w:val="16"/>
          <w:color w:val="auto"/>
        </w:rPr>
        <w:t>Privia has created consistent value across multiple markets and reimbursement models. Our physician-led,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provider workflow. Our integrated tools divert costly patient encounters so our Privia Providers can increase revenue through both commercial and federal programs. Patients who meet with a Privia Provider annually for wellness and preventive care experience on average 61% lower hospitalizations, 47% lower emergency room visits, and 25% lower risk-adjusted total cost of care. In 2020, each ACO across our national network delivered high-value, cost-efficient care to more than 121,000 Medicare beneficiaries, achieving shared savings of approximately $87 million through the MSSP. Our total annual expenditures were 14% lower than the median MSSP ACO and 22% lower than total FFS Medicare. Our weighted average emergency room utilization was 22% lower than the median MSSP ACO and 28% lower than total FFS Medicare. Our weighted average outpatient facility spend was 22% lower than the median MSSP ACO and 35% lower than total FFS Medicare. Our weighted average inpatient facility spend was 20% lower than the median MSSP ACO and 29% lower than total FFS Medicare. We achieved CMS quality scores of 97 or higher for each of our regions in 2020 according to applicable CMS criteria. Since 2014, we have delivered total shared savings across government programs and commercial payers of more than $575 million, including nearly $281 million through participation in the MSSP. Our approach has been successful across Commercial, Medicare Advantage, MSSP, and Medicaid, from simpler pay-for-performance programs to more complex partial capitation and risk-based programs.</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Network for Purchasers and Payers: </w:t>
      </w:r>
      <w:r>
        <w:rPr>
          <w:rFonts w:ascii="Arial" w:cs="Arial" w:eastAsia="Arial" w:hAnsi="Arial"/>
          <w:sz w:val="17"/>
          <w:szCs w:val="17"/>
          <w:color w:val="auto"/>
        </w:rPr>
        <w:t>Privia strives to bring all parts of the care delivery system together for an integrated care plan that is designed</w:t>
      </w:r>
      <w:r>
        <w:rPr>
          <w:rFonts w:ascii="Arial" w:cs="Arial" w:eastAsia="Arial" w:hAnsi="Arial"/>
          <w:sz w:val="17"/>
          <w:szCs w:val="17"/>
          <w:b w:val="1"/>
          <w:bCs w:val="1"/>
          <w:color w:val="auto"/>
        </w:rPr>
        <w:t xml:space="preserve"> </w:t>
      </w:r>
      <w:r>
        <w:rPr>
          <w:rFonts w:ascii="Arial" w:cs="Arial" w:eastAsia="Arial" w:hAnsi="Arial"/>
          <w:sz w:val="17"/>
          <w:szCs w:val="17"/>
          <w:color w:val="auto"/>
        </w:rPr>
        <w:t>to lead to improved outcomes at lower cost. Our Medical Groups enable providers to connect across our platform to better understand the holistic needs of each patient and connect them with other aligned and informed providers to address their individual medical needs. This is accomplished by leveraging data from numerous sources and utilizing provider input based on local knowledge 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Privia Technology Solution: Our Purpose-Built, End-to-End Technology-Enabled Platform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end-to-end, cloud-based technology-enabled platform streamlines the provider, patient and care team workflows focusing on each of the following aspects: i) patient access through various avenues (patient portal, mobile app and search engine optimization), ii) pre-visit analytics and preparation, iii) in-person or virtual care delivery and iv) post visit analytics, care-coordination and reporting. Our technology-enabled platform enables us to scale operations across over 3,250 implemented providers in multiple markets, enhance performance across multiple payer contracts and deliver superior quality care to patients across the demographic spectrum.</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technology-enabled platform supports providers by leveraging machine learning and artificial intelligence to reduce or automate tasks that needlessly create administrative burden. In addition, our technology-enabled platform helps us scale operationally, as our product designers and engineers collaborate closely with clinical and operational teams to optimize workflows as we enter new markets and new payer contracts. Our platform is built on a modern cloud-based technology stack employing agile development cycles. Our technology architecture utilizes API standards for ease of implementing new functionalities and integrating with multiple external systems.</w:t>
      </w:r>
    </w:p>
    <w:p>
      <w:pPr>
        <w:spacing w:after="0" w:line="130"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Patient Access: </w:t>
      </w:r>
      <w:r>
        <w:rPr>
          <w:rFonts w:ascii="Arial" w:cs="Arial" w:eastAsia="Arial" w:hAnsi="Arial"/>
          <w:sz w:val="16"/>
          <w:szCs w:val="16"/>
          <w:color w:val="auto"/>
        </w:rPr>
        <w:t>We optimize practices’ web presence so patients can easily find and schedule an appointment with a provider online and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reminders to fortify patient retention and avoid costly no-shows. We offer a seamless experience through our mobile app and patient portal that amplifies the patient and provider relationship. Our tools empower patients to access personal health information and stay connected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providers by equipping physicians with the tools they need to deliver quality, affordable care when, where, and how patients need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117475</wp:posOffset>
            </wp:positionV>
            <wp:extent cx="4423410" cy="2674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234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66"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Capabilities: </w:t>
      </w:r>
      <w:r>
        <w:rPr>
          <w:rFonts w:ascii="Arial" w:cs="Arial" w:eastAsia="Arial" w:hAnsi="Arial"/>
          <w:sz w:val="18"/>
          <w:szCs w:val="18"/>
          <w:color w:val="auto"/>
        </w:rPr>
        <w:t>Practice Websites with Online Reputation Management (ORM) and Search Engine Optimization (SEO), Online Self-Scheduling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 Search, Mobile App, Online Check-in, Appointment Reminders, Secure Patient Messaging, 24/7 Nurse Triage Call Center, and 24/7 On-demand Virtual Visits for immediate or primary care.</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400 practice websites managed with approximately 470,000 monthly unique visits; approximately 1,800 providers on</w:t>
      </w:r>
      <w:r>
        <w:rPr>
          <w:rFonts w:ascii="Arial" w:cs="Arial" w:eastAsia="Arial" w:hAnsi="Arial"/>
          <w:sz w:val="18"/>
          <w:szCs w:val="18"/>
          <w:b w:val="1"/>
          <w:bCs w:val="1"/>
          <w:color w:val="auto"/>
        </w:rPr>
        <w:t xml:space="preserve"> </w:t>
      </w:r>
      <w:r>
        <w:rPr>
          <w:rFonts w:ascii="Arial" w:cs="Arial" w:eastAsia="Arial" w:hAnsi="Arial"/>
          <w:sz w:val="18"/>
          <w:szCs w:val="18"/>
          <w:color w:val="auto"/>
        </w:rPr>
        <w:t>online scheduling; approximately 270,000 mobile app users monthly, over 90% mobile and 80% email collection rates; Over 75% email open rate; and over 40% gap campaign closure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Pre-visit: </w:t>
      </w:r>
      <w:r>
        <w:rPr>
          <w:rFonts w:ascii="Arial" w:cs="Arial" w:eastAsia="Arial" w:hAnsi="Arial"/>
          <w:sz w:val="17"/>
          <w:szCs w:val="17"/>
          <w:color w:val="auto"/>
        </w:rPr>
        <w:t>The Privia Platform prepares providers to more efficiently see patients, and facilitates improved outcomes before the patient enters the</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 room. Our technology and tools embed insights directly into our EMR so providers can seamlessly assess both patients’ health and practice performance. We acquire data from across the healthcare ecosystem for a single view of the patient. Privia’s solutions preemptively identify opportunities before the patient visit, using huddle reports and patient stratification. Our platform allows providers to proactively identify patient attribution, open quality gaps, open coding gaps, assess patient risk level and determine care management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83820</wp:posOffset>
            </wp:positionV>
            <wp:extent cx="5186045" cy="2468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Capabilities: </w:t>
      </w:r>
      <w:r>
        <w:rPr>
          <w:rFonts w:ascii="Arial" w:cs="Arial" w:eastAsia="Arial" w:hAnsi="Arial"/>
          <w:sz w:val="17"/>
          <w:szCs w:val="17"/>
          <w:color w:val="auto"/>
        </w:rPr>
        <w:t>Interoperability, Interface Management, Patient Portal, Online Check-In, Kiosks, Huddle Reports, and Chart Preparation</w:t>
      </w:r>
    </w:p>
    <w:p>
      <w:pPr>
        <w:spacing w:after="0" w:line="182" w:lineRule="exact"/>
        <w:rPr>
          <w:rFonts w:ascii="Arial" w:cs="Arial" w:eastAsia="Arial" w:hAnsi="Arial"/>
          <w:sz w:val="17"/>
          <w:szCs w:val="17"/>
          <w:color w:val="auto"/>
        </w:rPr>
      </w:pPr>
    </w:p>
    <w:p>
      <w:pPr>
        <w:ind w:left="660" w:hanging="328"/>
        <w:spacing w:after="0" w:line="282"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8 million messages in athenaNet interfaces monthly, ~3,000 file exchanges with payers per month on average, over</w:t>
      </w:r>
      <w:r>
        <w:rPr>
          <w:rFonts w:ascii="Arial" w:cs="Arial" w:eastAsia="Arial" w:hAnsi="Arial"/>
          <w:sz w:val="18"/>
          <w:szCs w:val="18"/>
          <w:b w:val="1"/>
          <w:bCs w:val="1"/>
          <w:color w:val="auto"/>
        </w:rPr>
        <w:t xml:space="preserve"> </w:t>
      </w:r>
      <w:r>
        <w:rPr>
          <w:rFonts w:ascii="Arial" w:cs="Arial" w:eastAsia="Arial" w:hAnsi="Arial"/>
          <w:sz w:val="18"/>
          <w:szCs w:val="18"/>
          <w:color w:val="auto"/>
        </w:rPr>
        <w:t>65% patient portal adoption rate</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During Visit: </w:t>
      </w:r>
      <w:r>
        <w:rPr>
          <w:rFonts w:ascii="Arial" w:cs="Arial" w:eastAsia="Arial" w:hAnsi="Arial"/>
          <w:sz w:val="18"/>
          <w:szCs w:val="18"/>
          <w:color w:val="auto"/>
        </w:rPr>
        <w:t>Whether an appointment is in-person at one of our more than 700 care centers or through our leading telehealth platform,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a streamlined provider and patient interaction. Privia integrates the quality workflow within the point-of-care in the EMR. Our solutions allow providers and care teams to close quality gaps during the patient visit by leveraging external data and enlisting patients for self-gap closure. The solutions are built on evidence-based guidelines managed by committees of physicians. Furthermore, we prioritize key risk adjustment gaps, recapture prior diagnoses and imbed suspect medical conditions within the EMR.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1014730</wp:posOffset>
            </wp:positionV>
            <wp:extent cx="4732020" cy="2272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473202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Capabilities: </w:t>
      </w:r>
      <w:r>
        <w:rPr>
          <w:rFonts w:ascii="Arial" w:cs="Arial" w:eastAsia="Arial" w:hAnsi="Arial"/>
          <w:sz w:val="18"/>
          <w:szCs w:val="18"/>
          <w:color w:val="auto"/>
        </w:rPr>
        <w:t>Embedded Virtual Visit Technology, Embedded Quality and Risk Gaps, Referral Decision Support, Virtual Scribes.</w:t>
      </w:r>
    </w:p>
    <w:p>
      <w:pPr>
        <w:spacing w:after="0" w:line="17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Thorough patient examinations, over 4.0 average Stars Score across Medicare Advantage programs; over 97% quality score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(MSSP)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100% of established markets with MIPS fee schedule improvement.</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Between Visits: </w:t>
      </w:r>
      <w:r>
        <w:rPr>
          <w:rFonts w:ascii="Arial" w:cs="Arial" w:eastAsia="Arial" w:hAnsi="Arial"/>
          <w:sz w:val="17"/>
          <w:szCs w:val="17"/>
          <w:color w:val="auto"/>
        </w:rPr>
        <w:t>After the visit, we support treatment with patient education tools, automated standing orders based health event data triggers,</w:t>
      </w:r>
      <w:r>
        <w:rPr>
          <w:rFonts w:ascii="Arial" w:cs="Arial" w:eastAsia="Arial" w:hAnsi="Arial"/>
          <w:sz w:val="17"/>
          <w:szCs w:val="17"/>
          <w:b w:val="1"/>
          <w:bCs w:val="1"/>
          <w:color w:val="auto"/>
        </w:rPr>
        <w:t xml:space="preserve"> </w:t>
      </w:r>
      <w:r>
        <w:rPr>
          <w:rFonts w:ascii="Arial" w:cs="Arial" w:eastAsia="Arial" w:hAnsi="Arial"/>
          <w:sz w:val="17"/>
          <w:szCs w:val="17"/>
          <w:color w:val="auto"/>
        </w:rPr>
        <w:t>transitional and chronic care management, care plans, and more. We also use patient-satisfaction feedback to increase practices’ online visibility. Our system sends secure messages to patients within the patient portal and messages are sent on behalf of the provider and care team. Our proprietary care team application is integrated within the EMR and patient portal enabling clinical assessments and templates to guide care team’s workflows. Privia Connect, our proprietary provider community application, is a resource hub and training platform for all provider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83820</wp:posOffset>
            </wp:positionV>
            <wp:extent cx="3326130" cy="24942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2613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hanging="328"/>
        <w:spacing w:after="0" w:line="282"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Capabilities: </w:t>
      </w:r>
      <w:r>
        <w:rPr>
          <w:rFonts w:ascii="Arial" w:cs="Arial" w:eastAsia="Arial" w:hAnsi="Arial"/>
          <w:sz w:val="18"/>
          <w:szCs w:val="18"/>
          <w:color w:val="auto"/>
        </w:rPr>
        <w:t>Patient Portal, Patient Satisfaction Surveys, PRQD, Automated Patient Outreach, Care Plans, Care Management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Platform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spacing w:after="0" w:line="14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Outcomes</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Privia conducts over 84,000 patient surveys per week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14% survey response rate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Remediation of any negative feedback commenced within 24 hours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Over 75% email open rate on all emails sent to patients; more than 41,000 gaps closed in 2019</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96% provider adoption of Privia Connect application; over 2,100 self-service knowledge-based articles; 85 online courses available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Virtual Visits—Mobilizing Doctors during the COVID-19 Outbreak Situation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Legacy telehealth platforms have traditionally offered virtual visits as an isolated encounter between a patient and a medical provider who do not have an existing relationship. In most instances, any clinical notes from the telehealth visit are not integrated into the patient’s primary EMR. This gap in clinical data typically contributes to poor health outcomes and increased healthcare costs. Privia’s proprietary virtual health platform is fully integrated with our patients’ EMR so our primary care providers can readily access data from virtual visits. Our patients can also use the telehealth platform to schedule a virtual visit with a provider of their choice, an in-person follow-up visit or a referral to a specialist. Therefore, our patients do not need to choose between a telehealth visit at their convenience and seeing a trusted provider.</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end of 2019, approximately 250 Privia Providers conducted ~350 virtual visits per week. In March 2020, as COVID-19 rapidly became a global health issue and shelter-in-place orders were enacted, practices nationwide saw on average a 60% decrease in patient volumes. In response, Privia quickly launched provider and patient communication campaigns to transition from in-person to virtual visits, as clinically appropriate. Over 2,300 Privia Providers, representing more than 43 medical specialties, continued delivering care to patients via our proprietary telehealth platform. We further launched our 24/7 Virtual Clinic, providing on demand access to Privia Providers for immediate care if a patient’s primary care provider is not available. We are expanding the service directly to individuals and employers as they explore alternative fully integrated care models to manage a remote workforce.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Outcomes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Privia’s virtual visit volumes increased from ~100 per day to more than 6,000 per day on average without operational disruption and zero downtime on Privia’s proprietary virtual visit platform. Virtual visit volume increased rapidly, from approximately 0.3% of all visits prior to the COVID outbreak to more than 45% by the beginning of April 2020. As of September 30, 2021, over 640,000 distinct Privia patients have completed over 1.4 million virtual visits. Of all patients seen by a Privia Provider virtually, 86% did not return to the same doctor or another doctor in the same specialty for a follow up visit within seven days. In the first nine months of 2021, approximately 10-15% of our visit volume was delivered virtually across our markets and specialties and we anticipate that to hold steady post-COVID.</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our virtual visit capability fully embedded in our provider workflows and technology stack, Privia practices across our markets have leveraged the virtual health platform to drive improvements in provider productivity, new patient volume and market share.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Within our 24/7 Virtual Clinic, our providers delivered exceptional immediate care as evidenced by our antibiotic prescription for viral illnesses (19% for Privia vs. 46% in traditional urgent care per JAMA). Additionally, based on patient self-reported data, on average in 2020, 40% of our patients seen in our Virtual Clinic avoided unnecessary ER or an urgent care visit.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Provider Partnership Approach</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transforming healthcare by empowering physicians. We know that providers are uniquely positioned to reshape healthcare, but they need the right organization, tools, technology, talent and governance to support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is where Privia comes in. Our high-performance medical groups, proprietary technology, physician leadership and team-based approach help our providers manage the health of their communities through exceptional patient experiences. We follow a proven process to move providers and markets to value through the following:</w:t>
      </w:r>
    </w:p>
    <w:p>
      <w:pPr>
        <w:spacing w:after="0" w:line="126" w:lineRule="exact"/>
        <w:rPr>
          <w:sz w:val="20"/>
          <w:szCs w:val="20"/>
          <w:color w:val="auto"/>
        </w:rPr>
      </w:pPr>
    </w:p>
    <w:p>
      <w:pPr>
        <w:jc w:val="both"/>
        <w:ind w:left="6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High-Performing Medical Groups: </w:t>
      </w:r>
      <w:r>
        <w:rPr>
          <w:rFonts w:ascii="Arial" w:cs="Arial" w:eastAsia="Arial" w:hAnsi="Arial"/>
          <w:sz w:val="18"/>
          <w:szCs w:val="18"/>
          <w:color w:val="auto"/>
        </w:rPr>
        <w:t>Privia forms high performing medical groups in each of its markets. Our structure allows providers to</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medicine as part of a larger clinically and financially integrated medical group while maintaining their legacy ownership structure and affiliations. Privia’s top-performing providers work together to reduce utilization and costs, improve the patient experience, and advance population health</w:t>
      </w:r>
    </w:p>
    <w:p>
      <w:pPr>
        <w:spacing w:after="0" w:line="125"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Superior Management Services Organization: </w:t>
      </w:r>
      <w:r>
        <w:rPr>
          <w:rFonts w:ascii="Arial" w:cs="Arial" w:eastAsia="Arial" w:hAnsi="Arial"/>
          <w:sz w:val="17"/>
          <w:szCs w:val="17"/>
          <w:color w:val="auto"/>
        </w:rPr>
        <w:t>Privia is a purpose-built organization that arms physicians with key expertise and assistance in</w:t>
      </w:r>
      <w:r>
        <w:rPr>
          <w:rFonts w:ascii="Arial" w:cs="Arial" w:eastAsia="Arial" w:hAnsi="Arial"/>
          <w:sz w:val="17"/>
          <w:szCs w:val="17"/>
          <w:b w:val="1"/>
          <w:bCs w:val="1"/>
          <w:color w:val="auto"/>
        </w:rPr>
        <w:t xml:space="preserve"> </w:t>
      </w:r>
      <w:r>
        <w:rPr>
          <w:rFonts w:ascii="Arial" w:cs="Arial" w:eastAsia="Arial" w:hAnsi="Arial"/>
          <w:sz w:val="17"/>
          <w:szCs w:val="17"/>
          <w:color w:val="auto"/>
        </w:rPr>
        <w:t>crucial practice needs such as contract negotiations, RCM, clinical operations, information technology and administrative support so that physicians can focus on what matters: delivering high-quality care to patients across the continuum of care</w:t>
      </w:r>
    </w:p>
    <w:p>
      <w:pPr>
        <w:spacing w:after="0" w:line="103" w:lineRule="exact"/>
        <w:rPr>
          <w:rFonts w:ascii="Arial" w:cs="Arial" w:eastAsia="Arial" w:hAnsi="Arial"/>
          <w:sz w:val="17"/>
          <w:szCs w:val="17"/>
          <w:color w:val="auto"/>
        </w:rPr>
      </w:pPr>
    </w:p>
    <w:p>
      <w:pPr>
        <w:jc w:val="both"/>
        <w:ind w:left="660" w:hanging="328"/>
        <w:spacing w:after="0" w:line="26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Enabling Transition to and Success in VBC: </w:t>
      </w:r>
      <w:r>
        <w:rPr>
          <w:rFonts w:ascii="Arial" w:cs="Arial" w:eastAsia="Arial" w:hAnsi="Arial"/>
          <w:sz w:val="18"/>
          <w:szCs w:val="18"/>
          <w:color w:val="auto"/>
        </w:rPr>
        <w:t>We partner with all provider types across all reimbursement programs including Medicare,</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Medicaid, and Commercial to successfully navigate the transition to VBC. We enable providers to run a more fulfilling, financially viable practice while providing superior patient experiences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Enhanced Patient Experience: </w:t>
      </w:r>
      <w:r>
        <w:rPr>
          <w:rFonts w:ascii="Arial" w:cs="Arial" w:eastAsia="Arial" w:hAnsi="Arial"/>
          <w:sz w:val="18"/>
          <w:szCs w:val="18"/>
          <w:color w:val="auto"/>
        </w:rPr>
        <w:t>We empower and engage patients with tools and technology, such as 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MyPrivia</w:t>
      </w:r>
      <w:r>
        <w:rPr>
          <w:rFonts w:ascii="Arial" w:cs="Arial" w:eastAsia="Arial" w:hAnsi="Arial"/>
          <w:sz w:val="18"/>
          <w:szCs w:val="18"/>
          <w:b w:val="1"/>
          <w:bCs w:val="1"/>
          <w:color w:val="auto"/>
        </w:rPr>
        <w:t xml:space="preserve"> </w:t>
      </w:r>
      <w:r>
        <w:rPr>
          <w:rFonts w:ascii="Arial" w:cs="Arial" w:eastAsia="Arial" w:hAnsi="Arial"/>
          <w:sz w:val="18"/>
          <w:szCs w:val="18"/>
          <w:color w:val="auto"/>
        </w:rPr>
        <w:t>mobile app, patient portal and</w:t>
      </w:r>
      <w:r>
        <w:rPr>
          <w:rFonts w:ascii="Arial" w:cs="Arial" w:eastAsia="Arial" w:hAnsi="Arial"/>
          <w:sz w:val="18"/>
          <w:szCs w:val="18"/>
          <w:b w:val="1"/>
          <w:bCs w:val="1"/>
          <w:color w:val="auto"/>
        </w:rPr>
        <w:t xml:space="preserve"> </w:t>
      </w:r>
      <w:r>
        <w:rPr>
          <w:rFonts w:ascii="Arial" w:cs="Arial" w:eastAsia="Arial" w:hAnsi="Arial"/>
          <w:sz w:val="18"/>
          <w:szCs w:val="18"/>
          <w:color w:val="auto"/>
        </w:rPr>
        <w:t>telehealth capabilities. This approach prioritizes the patient-provider relationship and helps deliver care when, where, and how patients want to connect with their providers</w:t>
      </w:r>
    </w:p>
    <w:p>
      <w:pPr>
        <w:spacing w:after="0" w:line="12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Superior Clinical Quality: </w:t>
      </w:r>
      <w:r>
        <w:rPr>
          <w:rFonts w:ascii="Arial" w:cs="Arial" w:eastAsia="Arial" w:hAnsi="Arial"/>
          <w:sz w:val="18"/>
          <w:szCs w:val="18"/>
          <w:color w:val="auto"/>
        </w:rPr>
        <w:t>Privia enables better clinical quality by putting patient outcome data in front of providers that they never had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providing additional clinical programs, such as care management and behavioral health. For example, patients who meet with a Privia Provider annually for wellness and preventive care experience 61% lower hospitalizations, 47% lower emergency room visits, and 25% lower risk-adjusted total cost of care.</w:t>
      </w:r>
    </w:p>
    <w:p>
      <w:pPr>
        <w:spacing w:after="0" w:line="125"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Delivering Financial Rewards: </w:t>
      </w:r>
      <w:r>
        <w:rPr>
          <w:rFonts w:ascii="Arial" w:cs="Arial" w:eastAsia="Arial" w:hAnsi="Arial"/>
          <w:sz w:val="18"/>
          <w:szCs w:val="18"/>
          <w:color w:val="auto"/>
        </w:rPr>
        <w:t>Ultimately, our model results in significant financial rewards for our providers by i) enhancing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efficiency and increasing patient panel sizes, ii) increasing revenue from FFS and value-based contracts and iii) reducing overall direct and indirect cost to provide care and manage their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Methodical Process to Move Providers and the Market to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120015</wp:posOffset>
            </wp:positionV>
            <wp:extent cx="5212080" cy="24174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Governance and Physician Leadership Culture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multipurpose governance model includes a local governance structure to meet each market’s needs and continuously improves various aspects of our patient, physician and payer relationships. Privia Physicians hold the majority of board positions in our Owned Medical Groups and ACOs, including sole authority over matters related to the practice of medicine, and we either have exclusive authority over certain strategic issues such as mergers and acquisitions, and termination of our MSA or veto authority relative to certain strategic decision making. The intent being to balance physician leadership on clinical matters while acknowledging that certain matters will require action by Privia given the fact that Privia contributed the capital and intellectual knowledge to establish the Owned Medical Groups and ACOs. In addition, our National Physician Advisory Council (“NPAC”) brings together the clinical and executive local market leadership across the country to provide valuable input to improve our common technology-enabled platform, physician facing data reporting, common quality initiatives, marketing and product performance.</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auspices of the NPAC, various individual specialty collaboratives meet both locally and nationally to address common issues, bring best practices and models of success to the forefront. As an example, Privia Women’s Health focuses on advancing VBC and performance in women’s health, including participation in building VBC-contracting models with bundled payments and episodes of care, and including remote patient monitoring in pregnancy. The pediatric collaborative successfully brings forward strategies to engage patients and families in continuing pediatric care through continuous education, information, structural changes and innovative ways of keeping patients and family safe including virtual visits, drive through testing for COVID, vaccination programs, and triaging for in person visits.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Physician culture begins at selection of high performing, well-respected practices in their communities to join Privia, and continues with on boarding and implementation, continuous education on VBC, physician led PODS and participation at both the market and national executive and clinical leadership levels.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Impact</w:t>
      </w:r>
    </w:p>
    <w:p>
      <w:pPr>
        <w:spacing w:after="0" w:line="167" w:lineRule="exact"/>
        <w:rPr>
          <w:sz w:val="20"/>
          <w:szCs w:val="20"/>
          <w:color w:val="auto"/>
        </w:rPr>
      </w:pPr>
    </w:p>
    <w:p>
      <w:pPr>
        <w:jc w:val="both"/>
        <w:ind w:left="660" w:hanging="328"/>
        <w:spacing w:after="0" w:line="281"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Patients: </w:t>
      </w:r>
      <w:r>
        <w:rPr>
          <w:rFonts w:ascii="Arial" w:cs="Arial" w:eastAsia="Arial" w:hAnsi="Arial"/>
          <w:sz w:val="17"/>
          <w:szCs w:val="17"/>
          <w:color w:val="auto"/>
        </w:rPr>
        <w:t>Privia currently serves approximately 3 million patients across the continuum of care. Our total cost of care framework enables us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enhanced care regardless of whether the patient is healthy, early stage chronic, high risk, poly-chronic or a complex case. Our framework focuses on: i) expanded access through our more than 850 care center locations or virtually ii) proactive referral management iii) chronic care management and behavioral health and iv) complex care management and palliative care.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jc w:val="both"/>
        <w:ind w:left="328"/>
        <w:spacing w:after="0" w:line="255" w:lineRule="auto"/>
        <w:rPr>
          <w:sz w:val="20"/>
          <w:szCs w:val="20"/>
          <w:color w:val="auto"/>
        </w:rPr>
      </w:pPr>
      <w:r>
        <w:rPr>
          <w:rFonts w:ascii="Arial" w:cs="Arial" w:eastAsia="Arial" w:hAnsi="Arial"/>
          <w:sz w:val="18"/>
          <w:szCs w:val="18"/>
          <w:color w:val="auto"/>
        </w:rPr>
        <w:t>technology provides an improved patient experience and better outcomes through our MyPrivia app and patient portal, including helpful automated reminders to stay on top of health events, 24/7 virtual immediate care and nurse care advice. As an example, patients who meet with a Privia Provider annually for wellness and preventive care experience 61% lower hospitalizations, 47% lower emergency room visits, and 25% lower risk-adjusted total cost of care. Patients enrolled in Privia’s diabetes program, which focuses on managing blood sugar, blood pressure, kidney disease, and cholesterol, experience 38% lower hospitalizations, 30% lower emergency room visits, and 27% lower risk-adjusted total cost of care than diabetics who do not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97155</wp:posOffset>
            </wp:positionV>
            <wp:extent cx="4843145" cy="2443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4314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328" w:hanging="328"/>
        <w:spacing w:after="0" w:line="298" w:lineRule="auto"/>
        <w:tabs>
          <w:tab w:leader="none" w:pos="323"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Providers: </w:t>
      </w:r>
      <w:r>
        <w:rPr>
          <w:rFonts w:ascii="Arial" w:cs="Arial" w:eastAsia="Arial" w:hAnsi="Arial"/>
          <w:sz w:val="16"/>
          <w:szCs w:val="16"/>
          <w:color w:val="auto"/>
        </w:rPr>
        <w:t>Transforming healthcare requires innovative, diverse solutions that position providers at the forefront. Privia’s physician-led approach</w:t>
      </w:r>
      <w:r>
        <w:rPr>
          <w:rFonts w:ascii="Arial" w:cs="Arial" w:eastAsia="Arial" w:hAnsi="Arial"/>
          <w:sz w:val="16"/>
          <w:szCs w:val="16"/>
          <w:b w:val="1"/>
          <w:bCs w:val="1"/>
          <w:color w:val="auto"/>
        </w:rPr>
        <w:t xml:space="preserve"> </w:t>
      </w:r>
      <w:r>
        <w:rPr>
          <w:rFonts w:ascii="Arial" w:cs="Arial" w:eastAsia="Arial" w:hAnsi="Arial"/>
          <w:sz w:val="16"/>
          <w:szCs w:val="16"/>
          <w:color w:val="auto"/>
        </w:rPr>
        <w:t>enables providers to practice medicine the way they want with the support they need, thrive in VBC, and stay connected with their patients. We combine talent, tools and technology to ensure that Privia Providers are less burdened with administrative tasks, spend more time with their patients and are rewarded for managing their patients’ cost of care effectively. As a result, the Privia Platform has grown significantly over the past few years, scaling from more than 250 implemented providers in 2014 to over 3,250 implemented providers on the platform today.</w:t>
      </w:r>
    </w:p>
    <w:p>
      <w:pPr>
        <w:spacing w:after="0" w:line="99" w:lineRule="exact"/>
        <w:rPr>
          <w:rFonts w:ascii="Arial" w:cs="Arial" w:eastAsia="Arial" w:hAnsi="Arial"/>
          <w:sz w:val="16"/>
          <w:szCs w:val="16"/>
          <w:color w:val="auto"/>
        </w:rPr>
      </w:pPr>
    </w:p>
    <w:p>
      <w:pPr>
        <w:jc w:val="both"/>
        <w:ind w:left="328" w:hanging="328"/>
        <w:spacing w:after="0" w:line="269" w:lineRule="auto"/>
        <w:tabs>
          <w:tab w:leader="none" w:pos="323"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Health Systems: </w:t>
      </w:r>
      <w:r>
        <w:rPr>
          <w:rFonts w:ascii="Arial" w:cs="Arial" w:eastAsia="Arial" w:hAnsi="Arial"/>
          <w:sz w:val="17"/>
          <w:szCs w:val="17"/>
          <w:color w:val="auto"/>
        </w:rPr>
        <w:t>Our physician expertise, top talent, and technology helps health systems navigate complex policies, competing priorities,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changing healthcare landscape. Privia solves these challenges by advancing immediate business goals, aligning physicians, and positioning the health system organization for long-term success in a value-based market. We partner with forward thinking providers to address their most pressing needs by providing i) a physician alignment platform for health systems seeking a more efficient model to align and build loyalty with community physicians ii) a medical group enablement strategy for health systems looking to reduce operating losses from an employed medical group and iii) a medical group privatization strategy for health systems seeking to eliminate subsidies from a physician employment model. Our flexible, scalable, capital-efficient model generates cost savings and top-line growth in a shifting reimbursement environment. Our team’s vast industry knowledge and experience with health plans (including health system or integrated delivery network owned) and physician groups inform our practice management, VBC, and IT support and implementation. This expertise drives consistency, repeatability, and scalability of workflows, metrics, and outcomes. Our cloud-based technology unites physicians and integrates into health systems’ existing workflows. This seamless data delivery at the point of care increases connectivity, improves care coordination, and provides data to negotiate risk-based payer contracts and engage patients of a health system.</w:t>
      </w:r>
    </w:p>
    <w:p>
      <w:pPr>
        <w:spacing w:after="0" w:line="124" w:lineRule="exact"/>
        <w:rPr>
          <w:rFonts w:ascii="Arial" w:cs="Arial" w:eastAsia="Arial" w:hAnsi="Arial"/>
          <w:sz w:val="17"/>
          <w:szCs w:val="17"/>
          <w:color w:val="auto"/>
        </w:rPr>
      </w:pPr>
    </w:p>
    <w:p>
      <w:pPr>
        <w:ind w:left="328" w:hanging="328"/>
        <w:spacing w:after="0" w:line="282" w:lineRule="auto"/>
        <w:tabs>
          <w:tab w:leader="none" w:pos="32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Payers: </w:t>
      </w:r>
      <w:r>
        <w:rPr>
          <w:rFonts w:ascii="Arial" w:cs="Arial" w:eastAsia="Arial" w:hAnsi="Arial"/>
          <w:sz w:val="18"/>
          <w:szCs w:val="18"/>
          <w:color w:val="auto"/>
        </w:rPr>
        <w:t>We differentiate payers’ benefits and network designs to expand market share and remain competitive. Privia offers tools that enrich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experience, decrease utilization, steer care to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27" w:name="page128"/>
    <w:bookmarkEnd w:id="127"/>
    <w:p>
      <w:pPr>
        <w:spacing w:after="0" w:line="14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efficient settings, and embrace value-based contracts. Our high-performance, localized provider networks leverage technology and care coordination to lower the risk of costly patient events and improve health outcomes. Our tools engage patients, close care gaps, and connect primary care providers and specialists to avoid unnecessary patient encounters. We align incentives with our payer partners by linking performance to rewards and enter into innovative custom contracts serving all demographics and populations across the continuum of care.</w:t>
      </w:r>
    </w:p>
    <w:p>
      <w:pPr>
        <w:spacing w:after="0" w:line="113" w:lineRule="exact"/>
        <w:rPr>
          <w:sz w:val="20"/>
          <w:szCs w:val="20"/>
          <w:color w:val="auto"/>
        </w:rPr>
      </w:pPr>
    </w:p>
    <w:p>
      <w:pPr>
        <w:jc w:val="both"/>
        <w:ind w:left="660" w:hanging="328"/>
        <w:spacing w:after="0" w:line="254"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Employers: </w:t>
      </w:r>
      <w:r>
        <w:rPr>
          <w:rFonts w:ascii="Arial" w:cs="Arial" w:eastAsia="Arial" w:hAnsi="Arial"/>
          <w:sz w:val="18"/>
          <w:szCs w:val="18"/>
          <w:color w:val="auto"/>
        </w:rPr>
        <w:t>Privia seeks to create significant benefits directly to employers through the improvement of benefit design, simplicity of use and</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friction with the healthcare system. We deliver high performance networks, custom network design, advanced telehealth capabilities, and patient engagement tools. We work with employers to deliver innovative, customized medical benefits packages supported by our cost-efficient, high-quality provider networks. Our enhanced primary care model offers superior care to their employees while lowering per-member, per-year costs. Our high-performance networks connect primary care and specialty providers to ensure employee care is streamlined, coordinated, and efficient. With 24/7 accessibility and a user-friendly interface, our virtual visits technology can save time, decrease absenteeism, and improve employee satisfaction. Patients can message providers, refill prescriptions, view test results, pay bills, and schedule visits through our mobile app or patient portal.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Value Proposition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Privia is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the government, patients, and employers continue to expect primary care providers to provide better access, lower total cost, and higher-quality care, which we believe is a powerful trend in our favor.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Replicable Platform to Enter and Move Markets Toward Transformational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120015</wp:posOffset>
            </wp:positionV>
            <wp:extent cx="2785745" cy="1028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8574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Privia is expanding its technology-enabled platform designed to transform the healthcare delivery experience from a traditional FFS to VBC reimbursement model. </w:t>
      </w:r>
      <w:r>
        <w:rPr>
          <w:rFonts w:ascii="Arial" w:cs="Arial" w:eastAsia="Arial" w:hAnsi="Arial"/>
          <w:sz w:val="18"/>
          <w:szCs w:val="18"/>
          <w:color w:val="auto"/>
        </w:rPr>
        <w:t>We believe that our platform enables us to enter new geographies, establish our primary care centric provider network and move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toward transformational VBC. We serve patients across demographics and medical complexities and also participate in different reimbursement models.</w:t>
      </w:r>
    </w:p>
    <w:p>
      <w:pPr>
        <w:spacing w:after="0" w:line="12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We align our success with that of our Privia Physicians and enable them to maximize the potential of their practices across their entire patient panel. </w:t>
      </w:r>
      <w:r>
        <w:rPr>
          <w:rFonts w:ascii="Arial" w:cs="Arial" w:eastAsia="Arial" w:hAnsi="Arial"/>
          <w:sz w:val="16"/>
          <w:szCs w:val="16"/>
          <w:color w:val="auto"/>
        </w:rPr>
        <w:t>Our proven, flexible platform delivers tailored solutions to secure providers’ futures, regardless of their starting point on the transition to value.</w:t>
      </w:r>
    </w:p>
    <w:p>
      <w:pPr>
        <w:spacing w:after="0" w:line="62" w:lineRule="exact"/>
        <w:rPr>
          <w:sz w:val="20"/>
          <w:szCs w:val="20"/>
          <w:color w:val="auto"/>
        </w:rPr>
      </w:pPr>
    </w:p>
    <w:p>
      <w:pPr>
        <w:ind w:left="660" w:hanging="328"/>
        <w:spacing w:after="0" w:line="312"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FFS: </w:t>
      </w:r>
      <w:r>
        <w:rPr>
          <w:rFonts w:ascii="Arial" w:cs="Arial" w:eastAsia="Arial" w:hAnsi="Arial"/>
          <w:sz w:val="17"/>
          <w:szCs w:val="17"/>
          <w:color w:val="auto"/>
        </w:rPr>
        <w:t>At the onset of our relationship, we seek to create value for our Privia Providers through more competitive payer contracts, improved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volume, strengthened networks, and revenue cycle and productivity gains driven by our technology-enabled platform.</w:t>
      </w:r>
    </w:p>
    <w:p>
      <w:pPr>
        <w:spacing w:after="0" w:line="85" w:lineRule="exact"/>
        <w:rPr>
          <w:rFonts w:ascii="Arial" w:cs="Arial" w:eastAsia="Arial" w:hAnsi="Arial"/>
          <w:sz w:val="17"/>
          <w:szCs w:val="17"/>
          <w:color w:val="auto"/>
        </w:rPr>
      </w:pPr>
    </w:p>
    <w:p>
      <w:pPr>
        <w:jc w:val="both"/>
        <w:ind w:left="660" w:hanging="328"/>
        <w:spacing w:after="0" w:line="266"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VBC: </w:t>
      </w:r>
      <w:r>
        <w:rPr>
          <w:rFonts w:ascii="Arial" w:cs="Arial" w:eastAsia="Arial" w:hAnsi="Arial"/>
          <w:sz w:val="18"/>
          <w:szCs w:val="18"/>
          <w:color w:val="auto"/>
        </w:rPr>
        <w:t>Over time, we create incremental value for our Privia Providers by enabling them to succeed in VBC models which are highly aligned with</w:t>
      </w:r>
      <w:r>
        <w:rPr>
          <w:rFonts w:ascii="Arial" w:cs="Arial" w:eastAsia="Arial" w:hAnsi="Arial"/>
          <w:sz w:val="18"/>
          <w:szCs w:val="18"/>
          <w:b w:val="1"/>
          <w:bCs w:val="1"/>
          <w:color w:val="auto"/>
        </w:rPr>
        <w:t xml:space="preserve"> </w:t>
      </w:r>
      <w:r>
        <w:rPr>
          <w:rFonts w:ascii="Arial" w:cs="Arial" w:eastAsia="Arial" w:hAnsi="Arial"/>
          <w:sz w:val="18"/>
          <w:szCs w:val="18"/>
          <w:color w:val="auto"/>
        </w:rPr>
        <w:t>payers. Our technology, training, robust networks and governance structures are foundational components powering our track record of success in programs such as enhanced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reimbursement through the MSSP, Medicare Advantage, Medicaid, commercial and other direct payer and employer contracting programs.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align incentives with our Privia Physicians and those who fund healthcare spend by designing our revenue model such that we share in the benefit of our partners achieving better outcomes, regardless of reimbursement environment. Because we are paid a percentage of our practices’ revenues, our fees are aligned with our Privia Physician practices’ revenue streams, including both 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Our end-to-end, cloud-based technology-enabled platform improves practice efficiency, patient and provider experiences and healthcare outcomes. </w:t>
      </w:r>
      <w:r>
        <w:rPr>
          <w:rFonts w:ascii="Arial" w:cs="Arial" w:eastAsia="Arial" w:hAnsi="Arial"/>
          <w:sz w:val="17"/>
          <w:szCs w:val="17"/>
          <w:color w:val="auto"/>
        </w:rPr>
        <w:t>Our technology-enabled platform is designed to increase provider workflow efficiency, enhances patient experience and engagement, achieves</w:t>
      </w:r>
      <w:r>
        <w:rPr>
          <w:rFonts w:ascii="Arial" w:cs="Arial" w:eastAsia="Arial" w:hAnsi="Arial"/>
          <w:sz w:val="17"/>
          <w:szCs w:val="17"/>
          <w:b w:val="1"/>
          <w:bCs w:val="1"/>
          <w:color w:val="auto"/>
        </w:rPr>
        <w:t xml:space="preserve"> </w:t>
      </w:r>
      <w:r>
        <w:rPr>
          <w:rFonts w:ascii="Arial" w:cs="Arial" w:eastAsia="Arial" w:hAnsi="Arial"/>
          <w:sz w:val="17"/>
          <w:szCs w:val="17"/>
          <w:color w:val="auto"/>
        </w:rPr>
        <w:t>lower total cost of care, improves healthcare outcomes and increases revenue for our Privia Physicians’ practices, enabling them to succeed across changing reimbursement environments. In addition, our platform eliminates the need for our Medical Groups to purchase and integrate numerous single-point solutions, thereby removing administrative burden and enhancing overall provider experience.</w:t>
      </w:r>
    </w:p>
    <w:p>
      <w:pPr>
        <w:spacing w:after="0" w:line="1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Our platform is designed to improve patient outcomes through superior clinical quality. </w:t>
      </w:r>
      <w:r>
        <w:rPr>
          <w:rFonts w:ascii="Arial" w:cs="Arial" w:eastAsia="Arial" w:hAnsi="Arial"/>
          <w:sz w:val="18"/>
          <w:szCs w:val="18"/>
          <w:color w:val="auto"/>
        </w:rPr>
        <w:t>Privia brings a value-based philosophy of clinical care</w:t>
      </w:r>
      <w:r>
        <w:rPr>
          <w:rFonts w:ascii="Arial" w:cs="Arial" w:eastAsia="Arial" w:hAnsi="Arial"/>
          <w:sz w:val="18"/>
          <w:szCs w:val="18"/>
          <w:b w:val="1"/>
          <w:bCs w:val="1"/>
          <w:color w:val="auto"/>
        </w:rPr>
        <w:t xml:space="preserve"> </w:t>
      </w:r>
      <w:r>
        <w:rPr>
          <w:rFonts w:ascii="Arial" w:cs="Arial" w:eastAsia="Arial" w:hAnsi="Arial"/>
          <w:sz w:val="18"/>
          <w:szCs w:val="18"/>
          <w:color w:val="auto"/>
        </w:rPr>
        <w:t>that leads to higher quality results. Through advanced analytics we identify rising risk and high-risk patients, and ensure that all patients receive the necessary preventive care. We provide additional 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practice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quality measures such as fall risk screening, flu vaccination, and HbA1c control for diabetic patients.</w:t>
      </w:r>
    </w:p>
    <w:p>
      <w:pPr>
        <w:spacing w:after="0" w:line="13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We provide the benefit of scale while also offering flexibility with ownership structures. </w:t>
      </w:r>
      <w:r>
        <w:rPr>
          <w:rFonts w:ascii="Arial" w:cs="Arial" w:eastAsia="Arial" w:hAnsi="Arial"/>
          <w:sz w:val="16"/>
          <w:szCs w:val="16"/>
          <w:color w:val="auto"/>
        </w:rPr>
        <w:t>Physicians and providers join our single-TIN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Group in each geographic market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practices to grow revenue and succeed in VBC reimbursement models.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We Excel and Drive Meaningful Improvement</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Ability to enter and move markets to VBC: </w:t>
      </w:r>
      <w:r>
        <w:rPr>
          <w:rFonts w:ascii="Arial" w:cs="Arial" w:eastAsia="Arial" w:hAnsi="Arial"/>
          <w:sz w:val="16"/>
          <w:szCs w:val="16"/>
          <w:color w:val="auto"/>
        </w:rPr>
        <w:t>We believe we have demonstrated our ability to establish a market presence in multiple geographies and</w:t>
      </w:r>
      <w:r>
        <w:rPr>
          <w:rFonts w:ascii="Arial" w:cs="Arial" w:eastAsia="Arial" w:hAnsi="Arial"/>
          <w:sz w:val="16"/>
          <w:szCs w:val="16"/>
          <w:b w:val="1"/>
          <w:bCs w:val="1"/>
          <w:color w:val="auto"/>
        </w:rPr>
        <w:t xml:space="preserve"> </w:t>
      </w:r>
      <w:r>
        <w:rPr>
          <w:rFonts w:ascii="Arial" w:cs="Arial" w:eastAsia="Arial" w:hAnsi="Arial"/>
          <w:sz w:val="16"/>
          <w:szCs w:val="16"/>
          <w:color w:val="auto"/>
        </w:rPr>
        <w:t>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End-to-end, cloud-based, technology-enabled platform: </w:t>
      </w:r>
      <w:r>
        <w:rPr>
          <w:rFonts w:ascii="Arial" w:cs="Arial" w:eastAsia="Arial" w:hAnsi="Arial"/>
          <w:sz w:val="18"/>
          <w:szCs w:val="18"/>
          <w:color w:val="auto"/>
        </w:rPr>
        <w:t>The Privia Technology Solution integrates key elements of numerous single-point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enabling our practices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Ability to serve all practice, provider and patient types across a variety of reimbursement models: </w:t>
      </w:r>
      <w:r>
        <w:rPr>
          <w:rFonts w:ascii="Arial" w:cs="Arial" w:eastAsia="Arial" w:hAnsi="Arial"/>
          <w:sz w:val="18"/>
          <w:szCs w:val="18"/>
          <w:color w:val="auto"/>
        </w:rPr>
        <w:t>The flexibility of our model gives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improve operations for a variety of provider types, including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care, specialists and health system employed and Privia Providers. This positions us to grow into a large market opportunity, consisting of commercial, Medicaid, MSSP and Medicare Advantage as well as direct contracting with private and government payers and employers. Our ability to improve outcomes for practices across various medical specialties ultimately accrues to the benefit of a larger set of patients than if we were focused on one area of care.</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Privia’s capital efficient operations are portable and replicable across geographic markets: </w:t>
      </w:r>
      <w:r>
        <w:rPr>
          <w:rFonts w:ascii="Arial" w:cs="Arial" w:eastAsia="Arial" w:hAnsi="Arial"/>
          <w:sz w:val="17"/>
          <w:szCs w:val="17"/>
          <w:color w:val="auto"/>
        </w:rPr>
        <w:t>We enter a market with an asset-light operating model</w:t>
      </w:r>
      <w:r>
        <w:rPr>
          <w:rFonts w:ascii="Arial" w:cs="Arial" w:eastAsia="Arial" w:hAnsi="Arial"/>
          <w:sz w:val="17"/>
          <w:szCs w:val="17"/>
          <w:b w:val="1"/>
          <w:bCs w:val="1"/>
          <w:color w:val="auto"/>
        </w:rPr>
        <w:t xml:space="preserve"> </w:t>
      </w:r>
      <w:r>
        <w:rPr>
          <w:rFonts w:ascii="Arial" w:cs="Arial" w:eastAsia="Arial" w:hAnsi="Arial"/>
          <w:sz w:val="17"/>
          <w:szCs w:val="17"/>
          <w:color w:val="auto"/>
        </w:rPr>
        <w:t>and employ a disciplined, uniform approach to market structure and development. We affiliate with market leading provider groups and health systems to form anchor relationships consisting of a single-TIN Medical Group to which we align other independent, affiliated, or employed providers. In contrast to many of our competitors, our model does not rely on buying physician practices or, building de-novo medical clinics that require significant capital expenditures nor does it subject us to the costly need to satisfy insurance-based capital requirements. The data we have collected from earlier provider cohorts demonstrate that we consistently improve practice performance in 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1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Long term, sticky relationships underpin our predictable and profitable operating model: </w:t>
      </w:r>
      <w:r>
        <w:rPr>
          <w:rFonts w:ascii="Arial" w:cs="Arial" w:eastAsia="Arial" w:hAnsi="Arial"/>
          <w:sz w:val="17"/>
          <w:szCs w:val="17"/>
          <w:color w:val="auto"/>
        </w:rPr>
        <w:t>Privia Providers have high average satisfaction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their overall performance on our platform. Our provider NPS of 58 (for the period between April 6, 2021 to April 27, 2021, as surveyed by Press Ganey Associates) is 23 points higher than the average provider score of 35. In addition, we have 95% average provider retention over the past four years. The patients that our providers serve are generally happier as well, as evidenced by a net patient satisfaction score of 85 for 2020.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1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Highly experienced executive and physician leadership: </w:t>
      </w:r>
      <w:r>
        <w:rPr>
          <w:rFonts w:ascii="Arial" w:cs="Arial" w:eastAsia="Arial" w:hAnsi="Arial"/>
          <w:sz w:val="18"/>
          <w:szCs w:val="18"/>
          <w:color w:val="auto"/>
        </w:rPr>
        <w:t>Our management team has significant experience leading payer, provider and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 council has helped us develop physician leaders nationally as well as in the markets we serve. We elevate the clinical voice at all levels of leadership to ensure our solutions benefit providers and their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case studies are illustrative of how we go to market in the geographies in which we operate. We believe that the case studies chosen are representative of our operating model and financial results.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Case Study: Mid-Atlantic Market</w:t>
      </w:r>
    </w:p>
    <w:p>
      <w:pPr>
        <w:spacing w:after="0" w:line="16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After establishing a presence in the Mid-Atlantic market in 2013, we have grown our provider base by 270% across multiple specialties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region, while producing tangible improvements in our practices. This rapid growth demonstrates the power of the Privia model to enter a market and expand provider density, while moving the market to VBC. Privia’s accelerated growth in our provider base and attributed patient lives in value-based programs result from aligning with payers, the network effect, and our proven value proposition, as we continue to improve healthcare outcomes and contain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Takeaways</w:t>
      </w:r>
    </w:p>
    <w:p>
      <w:pPr>
        <w:spacing w:after="0" w:line="17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Privia has grown rapidly since entering the Mid-Atlantic market as measured by various metrics. From 2014 to 2020, we successfully increased:</w:t>
      </w:r>
    </w:p>
    <w:p>
      <w:pPr>
        <w:spacing w:after="0" w:line="19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Implemented providers from 289 to 1,064, a growth of approximately 270%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Increased market share from 2.2% to 8.1%</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Attributed lives from 14,000 to 445,000, a CAGR of 77%</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FFS practice collections from over $45mm to approximately $500mm, a CAGR of 48%</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Generated total shared savings of $245mm for performance year 2014 through 2019 in all VBC arrangements within the market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cohort of 76 Mid-Atlantic primary care providers who have been a part of Privia for at least five years have experienced notable improvement in revenue metrics since joining:</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Overall FFS revenue increase of 20%, driven by an increase in revenue per provider of 5% and provider base expansion of 14%</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Overall VBC revenue increase of 116%, driven by an increase in revenue per provider of 90% and provider base expansion of 14%</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Revenue per visit increase of 12%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Case Study: Health System A</w:t>
      </w:r>
    </w:p>
    <w:p>
      <w:pPr>
        <w:spacing w:after="0" w:line="16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Privia entered the Florida market in 2019 through our partnership with the Health System A integrated delivery network (“IDN”). Founded</w:t>
      </w:r>
      <w:r>
        <w:rPr>
          <w:rFonts w:ascii="Arial" w:cs="Arial" w:eastAsia="Arial" w:hAnsi="Arial"/>
          <w:sz w:val="16"/>
          <w:szCs w:val="16"/>
          <w:b w:val="1"/>
          <w:bCs w:val="1"/>
          <w:color w:val="auto"/>
        </w:rPr>
        <w:t xml:space="preserve"> </w:t>
      </w:r>
      <w:r>
        <w:rPr>
          <w:rFonts w:ascii="Arial" w:cs="Arial" w:eastAsia="Arial" w:hAnsi="Arial"/>
          <w:sz w:val="16"/>
          <w:szCs w:val="16"/>
          <w:color w:val="auto"/>
        </w:rPr>
        <w:t>in 1995, Health System A is Central Florida’s only IDN and employs over 9,000 associates. The integrator of its IDN is Health System A Health Plans, offering a wide variety of health insurance options across Central Florida. In addition, it operates four hospitals. Health System A Medical Group is the largest multi-specialty physician group on the Space Coast. Health System A also offers numerous outpatient and wellness services, including Health System A Aging Services, three Health System A Pro-Health &amp; Fitness Centers, Home Care and Hospice of Health System A.</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Health System A engaged Privia to i) implement its ambulatory technology solution across the Health System A Medical Group, ii) streamline operations and improve clinical and quality outcomes and iii) establish a partnership to grow and expand the medical group statewide in Florida. Within twelve months, Privia enabled Health System A to improve physician alignment and engagement, upgrade their ambulatory technology platform and improve the performance of its integrated health plan (~30,000 Medicare Advantage service area lives). Privia leveraged its relationship with Health System A as its anchor partner to launch a multi-specialty provider network in Florida that is rapidly expanding today.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Takeaways</w:t>
      </w:r>
    </w:p>
    <w:p>
      <w:pPr>
        <w:spacing w:after="0" w:line="17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Privia was able to drive results immediate and tangible results for Health System A within one year of launch</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Implemented more than 400 employed providers on the Privia Technology Solution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Developed new POD-based physician governance to empower providers to lead their group</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Identified and on-boarded physician leaders and dedicated value-based staff</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Advanced documentation, risk adjustment and quality initiatives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Completed 90% of annual Hierarchical Condition Categories risk adjustment reviews in the first year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Closed more than 10,000 quality and documentation gaps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Created revenue cycle workflow efficiencies by utilizing more robust rules engine and automation, resulting in labor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ind w:left="980" w:hanging="324"/>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Reduced claim creation work and improved charge entry lag metrics using artificial intelligence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Privia’s relationship with Health System A as an anchor customer enabled it to execute Privia’s thesis across the entire state: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Launched a new medical group for private physicians as alternative alignment vehicle to employment</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Accelerated the shift of the market to VBC in partnership with Health System A Health Plan and other payers, generating $15mm in gross savings in 2020 with our Medicare Advantage value-based arrangement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Case Study: Physician Group A Partnership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joining Privia in 2014, physician group A embarked on several key business changes with support from Privia, including:</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Participation and improved performance in VBC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Implementation of a new provider compensation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Hiring new providers to offset retirement and attrition;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Specialty expansion including sports medicine, allergy and immediate care;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Rebranding efforts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Using Privia’s tools, talent, technology and physician leadership available to our practices, physician group A successfully implemented its business changes and further developed its VBC capabilities.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Takeaways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Privia has successfully driven significant top-line value and cost optimization for physician group A since 2014, including:</w:t>
      </w:r>
    </w:p>
    <w:p>
      <w:pPr>
        <w:spacing w:after="0" w:line="171" w:lineRule="exact"/>
        <w:rPr>
          <w:sz w:val="20"/>
          <w:szCs w:val="20"/>
          <w:color w:val="auto"/>
        </w:rPr>
      </w:pPr>
    </w:p>
    <w:p>
      <w:pPr>
        <w:ind w:left="66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Increased practice collections by approximately 90% (from $5.8mm to $11mm), including incremental MSSP revenue due to improved performance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Increased provider base by 35% (from 17 to 23 providers) and aided in specialty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Increased annual patient visit volume by more than 50% and per provider patient volume by ~20%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Improved days accounts receivable by 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Improved online reputation rating from 3.2 to 4.0 stars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Privia currently operates in seven states and the District of Columbia, covering over 100 target MPSAs (including over 30 out of the largest 100 MPSAs). We have over 3,250 implemented provider partners in our existing markets. We believe there are approximately 1,000,000 total physicians and providers in the United States. Our existing provider penetration and market share provides us with significant opportunity to grow in both our existing and new geographies. Our growth strategy is centered on capturing whitespace opportunity in existing markets and entering new markets nationally over the next decade and consists of the following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in Existing Practices</w:t>
      </w:r>
    </w:p>
    <w:p>
      <w:pPr>
        <w:spacing w:after="0" w:line="175" w:lineRule="exact"/>
        <w:rPr>
          <w:sz w:val="20"/>
          <w:szCs w:val="20"/>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Patient panel and volume growth through enhanced patient experience and value-based clinical model, which increases retention and drives new patient referrals;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New provider growth through strategic expansion, succession planning, and use of advanced practice practitioners;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Expansion of practice services such as more convenient virtual care, and in-office ancillaries;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Revenue optimization through enhanced payer contracting strategies and strong revenue cycle performance which drives efficiency and higher revenue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Moving Markets to VBC</w:t>
      </w:r>
    </w:p>
    <w:p>
      <w:pPr>
        <w:spacing w:after="0" w:line="175" w:lineRule="exact"/>
        <w:rPr>
          <w:sz w:val="20"/>
          <w:szCs w:val="20"/>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Focus on same store growth of patients attributed to value-based contracts in each existing geographic market (e.g. we currently have over 170,000 patients aging into Medicare over the next five years in each existing geographic market);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Develop new products and programs in partnership with aligned payers that are built with and around the Privia network of physicians and providers.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 Space Opportunities in Existing Markets</w:t>
      </w:r>
    </w:p>
    <w:p>
      <w:pPr>
        <w:spacing w:after="0" w:line="175" w:lineRule="exact"/>
        <w:rPr>
          <w:sz w:val="20"/>
          <w:szCs w:val="20"/>
          <w:color w:val="auto"/>
        </w:rPr>
      </w:pPr>
    </w:p>
    <w:p>
      <w:pPr>
        <w:ind w:left="660" w:right="2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Expand recently launched Privia Women’s Health and Privia Pediatrics platforms;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Continue to pursue direct contracting opportunities, including direct primary care and onsite / near-site clinics fully integrated with our local Privia networks;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Expand our clinical research program by designing and executing on clinical trials across multiple therapeutic areas. Privia currently participates in clinical trials of heart failure, COPD, diabetes, and COVID vaccine and treatment trials.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 Development</w:t>
      </w:r>
    </w:p>
    <w:p>
      <w:pPr>
        <w:spacing w:after="0" w:line="175" w:lineRule="exact"/>
        <w:rPr>
          <w:sz w:val="20"/>
          <w:szCs w:val="20"/>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Privia’s in-market operating structure and ability to serve providers wherever they are on their transition to VBC is designed to benefit each of the approximately one million U.S. providers;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believe our solution is applicable across all 50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data-driven market selection process identifies attractive expansion opportunities and informs our approach to opening new geographies;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prioritize markets with some or all of the following characteristics: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High provider density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High patient density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Demographic tailwinds, such as an aging population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Multiple potential medical group partners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Presence of value-oriented health systems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Payers seeking and aligned to high value scaled physician organizations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evaluate the broader market landscape for attractive opportunities on a continuous basis and proactively develop relationships before committing to enter a market;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Due to our active and ongoing new market reviews and evaluations, when we enter a new market, we are able to move quickly and efficiently to capture and maximize the opportunity;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a longstanding track record of successful, profitable expansion that we will leverage to execute on our robust pipeline of new markets opportunities.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 in Full Service Care Models</w:t>
      </w:r>
    </w:p>
    <w:p>
      <w:pPr>
        <w:spacing w:after="0" w:line="175" w:lineRule="exact"/>
        <w:rPr>
          <w:sz w:val="20"/>
          <w:szCs w:val="20"/>
          <w:color w:val="auto"/>
        </w:rPr>
      </w:pPr>
    </w:p>
    <w:p>
      <w:pPr>
        <w:ind w:left="660" w:right="2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growth playbook also factors in the opportunity to acquire minority or majority ownership of provider groups in existing and new markets;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also open de-novo, wholly or partially owned, sites of care focused on Medicare Advantage, direct contracting, and fully capitated contracts in existing and new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Business Development</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aspire to continue growing our national platform by expanding geographically into new markets and increasing density within our existing markets. Our business development, sales and marketing initiatives focus on the following avenues to drive growth:</w:t>
      </w:r>
    </w:p>
    <w:p>
      <w:pPr>
        <w:spacing w:after="0" w:line="112" w:lineRule="exact"/>
        <w:rPr>
          <w:sz w:val="20"/>
          <w:szCs w:val="20"/>
          <w:color w:val="auto"/>
        </w:rPr>
      </w:pPr>
    </w:p>
    <w:p>
      <w:pPr>
        <w:jc w:val="both"/>
        <w:ind w:left="660" w:hanging="328"/>
        <w:spacing w:after="0" w:line="281"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Anchor health systems and medical groups</w:t>
      </w:r>
      <w:r>
        <w:rPr>
          <w:rFonts w:ascii="Arial" w:cs="Arial" w:eastAsia="Arial" w:hAnsi="Arial"/>
          <w:sz w:val="17"/>
          <w:szCs w:val="17"/>
          <w:color w:val="auto"/>
        </w:rPr>
        <w:t>—We establish customized anchor partnerships with leading medical groups and health systems in</w:t>
      </w:r>
      <w:r>
        <w:rPr>
          <w:rFonts w:ascii="Arial" w:cs="Arial" w:eastAsia="Arial" w:hAnsi="Arial"/>
          <w:sz w:val="17"/>
          <w:szCs w:val="17"/>
          <w:b w:val="1"/>
          <w:bCs w:val="1"/>
          <w:color w:val="auto"/>
        </w:rPr>
        <w:t xml:space="preserve"> </w:t>
      </w:r>
      <w:r>
        <w:rPr>
          <w:rFonts w:ascii="Arial" w:cs="Arial" w:eastAsia="Arial" w:hAnsi="Arial"/>
          <w:sz w:val="17"/>
          <w:szCs w:val="17"/>
          <w:color w:val="auto"/>
        </w:rPr>
        <w:t>new markets developed from long-term relationships led by our business development team. We use a data driven approach to qualify, segment, and evaluate new market opportunities. We collaborate with leading medical groups and health systems looking to capitalize on the opportunity to create next generation physician led medical groups and transition their local markets to VBC.</w:t>
      </w:r>
    </w:p>
    <w:p>
      <w:pPr>
        <w:spacing w:after="0" w:line="110"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Existing market provider growth</w:t>
      </w:r>
      <w:r>
        <w:rPr>
          <w:rFonts w:ascii="Arial" w:cs="Arial" w:eastAsia="Arial" w:hAnsi="Arial"/>
          <w:sz w:val="18"/>
          <w:szCs w:val="18"/>
          <w:color w:val="auto"/>
        </w:rPr>
        <w:t>—Our in-market and national sales and marketing teams work together to add new medical groups, physician</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individual providers in existing markets. We accelerate our go-to-market strategy using on the ground market intelligence and a data driven approach. Our enterprise sales force is comprised of an in-house group of sales professionals organized by market. Our sales operations team supports our sales force with lead generation, while our growth analytics team conducts financial and operational analysis on our value proposition for prospective partners. Our provider recruitment team assists our existing practices in hiring new providers, from sourcing through onboarding.</w:t>
      </w:r>
    </w:p>
    <w:p>
      <w:pPr>
        <w:spacing w:after="0" w:line="133"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Consumer sales and marketing</w:t>
      </w:r>
      <w:r>
        <w:rPr>
          <w:rFonts w:ascii="Arial" w:cs="Arial" w:eastAsia="Arial" w:hAnsi="Arial"/>
          <w:sz w:val="18"/>
          <w:szCs w:val="18"/>
          <w:color w:val="auto"/>
        </w:rPr>
        <w:t>—As our medical groups grow in each market, we look to transition the market to value-based programs by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the patient panels of our providers and adding attributed risk lives across various value-based programs. Our marketing and communications team operates our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management, enterprise web presence and care center websites, and creates other forms of patient communication and engagement materials. Our branding and marketing strategy to drive growth to our practices have continued to result in increased engagement with new and existing patients and expanded enterprise web presence. As an example, in 2020, we have seen a 79% increase year-over-year in post impressions on social media channels and a 69% increase year-over-year in user session on myPrivia.com.</w:t>
      </w:r>
    </w:p>
    <w:p>
      <w:pPr>
        <w:spacing w:after="0" w:line="113" w:lineRule="exact"/>
        <w:rPr>
          <w:sz w:val="20"/>
          <w:szCs w:val="20"/>
          <w:color w:val="auto"/>
        </w:rPr>
      </w:pPr>
    </w:p>
    <w:p>
      <w:pPr>
        <w:jc w:val="both"/>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Employer sales and marketing</w:t>
      </w:r>
      <w:r>
        <w:rPr>
          <w:rFonts w:ascii="Arial" w:cs="Arial" w:eastAsia="Arial" w:hAnsi="Arial"/>
          <w:sz w:val="18"/>
          <w:szCs w:val="18"/>
          <w:color w:val="auto"/>
        </w:rPr>
        <w:t>—Our dedicated direct-to-employer sales team markets our platform, provider network and 24/7 virtual health</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directly to employers for workforce healthcare management. We have also developed a program, COVID Care Coordination (CCC), for managing COVID risk within an employee population that combines prevention best practices, 24/7 care access, patient engagement, testing protocols, and care coordination.</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marketing strategy focuses on increasing the overall brand awareness of Privia Health and of our Medical Group brands in each of our markets. We run targeted advertisements through print, direct mail, Google search, and social media for provider and patient acquisition. We also develop thought leadership content such as whitepapers, e-brochures, and blog posts and use public relations to secure earned media placements. Additionally, we participate in industry conferences, and collaborate with media outlets, industry associations, event venues, and local businesses to increase brand awareness. In each of our markets, local independent doctors unite together to form the larger Privia Medical Group. The local practice locations maintain their legacy brand, but also adopt the overarching Privia Medical Group brand.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Landscape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believe that our intellectual property rights are important to our business. We rely on a combination of trademarks, service marks, copyrights and trade secrets to protect our proprietary technology and other intellectual property. As of September 30, 2021, we exclusively own five registered trademarks in the United States, including Privia Health. In addition, we have registered domain names for websites that we use or may use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seek to control access to and distribution of our proprietary information, including our algorithms, source and object code, designs, and business processes, through security measures and contractual restrictions. We seek to limit access to our confidential and proprietary information to a “need to know” basis and enter into confidentiality and nondisclosure agreements with our employees, consultants, customers and vendors that may receive or otherwise have access to any confidential or proprietary information. We also obtain written invention assignment agreements from our employees, consultants, and vendors that assign to us all right, interest, and title to inventions and work product developed during their employment or service engagement with us. In the normal course of business, we provide our intellectual property to external parties through licensing or restricted use agreements. We have established a system of security measures to help protect our computer systems from security breaches and computer viruses. We have employed various technology and process-based methods, such as clustered and multi-layer firewalls, intrusion detection systems, vulnerability assessments, threat intelligence, content filtering, endpoint security (including anti-malware and detection response capabilities), email security mechanisms, and access control mechanisms. We also use encryption techniques for data at rest and in transit. For additional information on risks associated with our intellectual property and information technology systems, see “Risk Factors—Risks Related to Intellectual Property” and “Risk Factors —Risks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operations, those of our Owned Medical Groups, Non-Owned Medical Groups, and Privia Providers subject to extensive federal, state and local governmental laws and regulations. These laws and regulations require us to meet various standards relating to, among other things, claim submission, coding and reports to government payment programs, dispensing of pharmaceuticals, the provision, structure and compensation of physicians for ancillary services, such as laboratory, radiology and imaging services, physical therapy, and similar services, the management of physician services, personnel qualifications, creation, ownership and maintenance of health and business records, reporting and evaluating the quality of health care services, the assumption of insurance risk, the provision of covered services, allowable forms of payments to non-physicians and acceptable legal structures for the provision of healthcare services. If any of our operations or those of our Owned Medical Groups, Non-Owned Medical Groups, or Privia Providers are found to violate applicable laws or regulations, we could suffer severe consequences that would have a material adverse effect on our business, results of operations, financial condition, cash flows, reputation and stock price, including:</w:t>
      </w:r>
    </w:p>
    <w:p>
      <w:pPr>
        <w:spacing w:after="0" w:line="12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suspension or termination of our participation in federal health care programs and/or commercial payment programs;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refunds of overpayments and other amounts received in violation of law or applicable payment program requirements dating back to the applicable statute of limitation periods;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loss of our Privia Providers’ licenses required to furnish healthcare services, prescribe or administer pharmaceuticals, or furnish ancillary services in the states in which we operate;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criminal or civil liability, fines, damages or monetary penalties for violations of healthcare fraud and abuse laws, including the federal Anti-Kickback Statute, Civil Monetary Penalties Law of the Social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Security Act, Stark Law, HIPAA, the FCA and/or state analogs to these federal enforcement authorities, or other regulatory requirements;</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enforcement actions by governmental agencies and/or state law claims for monetary damages by patients who believe their health information has been used, disclosed or not properly safeguarded in violation of federal or state patient privacy laws, including the regulations implementing HIPAA and similar state privacy and security laws;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 decrease our revenue, or make our model less attractive to our Privia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ind w:left="660" w:hanging="328"/>
        <w:spacing w:after="0" w:line="263"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that could subject us to ongoing audits and reporting requirements as well as increased scrutiny of our billing and business practices which could lead to potential fines, increased operational expenses and reduce our overall growth;</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contracts with payers, real estate leases and our various agreements with Owned Medical Groups, Non-Owned Medical Groups, Privia Physicians and their Affiliated Practices;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changes in and reinterpretation of rules and laws by a regulatory agency or court, such as state corporate practice of medicine laws, that could affect the structure and management of our business and our Medical Groups;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negative adjustments to government payment models including, physician compensation under Medicare Part B, shared savings under MSSP, and payment opportunities under Medicare Advantage programs;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harm to our reputation, which could negatively impact our business relationships, the terms of payer contracts, our ability to attract and retain patients and Privia Providers, our ability to obtain financing and our access to new business opportunities, among other things.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our industry will continue to be subject to substantial regulation, the scope and effect of which are difficult to predict. Our activities could be subject to investigations, audits and inquiries by various government and regulatory agencies and commercial payers with whom we contract at any time in the future. See “Risk Factors—Risks Related to Regulation.” Adverse findings from such investigations and audits could bring severe consequences that could have a material adverse effect on our business, results of operations, financial condition, cash flows, reputation and stock price. In addition, commercial payers could require pre-payment audits of claims, which can negatively affect cash flow, or terminate contracts for repeated deficiencies.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Depending on the nature of risk borne by our Medical Groups, state insurance regulators may require us to obtain register as an insurance company. We have not registered as such in any of the states in which we operate and do not believe such is currently necessary. This is an evolving area of the law and could change rapidly. Additionally, as our Owned and Non-Owned Medical Groups assume more risk from employers and payers, our operations could cause us to become subject to such insurance regulation. Such an outcome could significantly increase our regulatory burden in affected states while increasing our operational costs. Likewise, state corporate practice of medicine prohibitions could require risk bearing contracts to be held exclusively by the Non-Owned Medical Groups, which we do not own, or could require that such contracts be held exclusively in certain state-recognized legal constructs such as Texas’ non-profit health organization, which, would limit our ability to own or control such contracts while increasing our operational costs to manage such contracts.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Healthcare Laws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generate material revenue in the Commonwealth of Virginia, the State of Maryland and the State of Georgia. Our approach to each market is tailored to address that state’s healthcare laws especially state corporate practice of medicine and fee splitting prohibitions. The laws and regulations relating to our operations vary from state to state and many states prohibit general business corporations, such as us, from practicing medicine, controlling physicians’ medical decisions or engaging in certain practices or relationships with physicians such as splitting professional fees with physicians. In states where impermissible, we do not own the Non-Owned Medical Groups and instead furnish certain management services to them and, where allowed, may have a physician or non-physician appointee on the governing board of the Non-Owned Medical Group. In states with looser restrictions, we own a majority interest in the Owned Medical Group, but, even in such markets, we contractually ensure that all clinical decisions are restricted to licensed physicians, including patient decision making, supervision, diagnosis, etc. To our Owned Medical Groups and the Non-Owned Medical Groups, we provide a comprehensive suite of administrative services in exchange for the payment of a management fee by such Medical Groups. Similar to state fraud and abuse laws, state corporate practice and fee splitting prohibitions range from very little regulatory guidance, judicial opinions and enforcement activity (e.g., Tennessee) to very well-developed and broad prohibitions (e.g., Texas). In all such cases, these prohibitions are subject to new and more expansive interpretations by the courts and regulatory bodies and, often, such guidance seems to be driven more by political decisions than rule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law. While we believe that we are in substantial compliance with state laws prohibiting the corporate practice of medicine and fee-splitting, other parties may assert that, despite the way we are structured, we could be engaged in the corporate practice of medicine or unlawful fee-splitting. Were such allegations to be asserted successfully before the appropriate judicial or administrative forums, we could be subject to adverse judicial or administrative penalties, certain contracts could be determined to be unenforceable, including accompanying restrictive covenants, and we may be required to restructure our contractual arrangements. Likewise, such laws limit future opportunities in certain markets by limiting our potential strategies for entering such markets.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a single Owned Medical Group that furnishes healthcare services through our Privia Providers in the Commonwealth of Virginia, the State of Maryland, and the District of Columbia, and we operate two Owned Medical Groups in the State of Georgia, one for adult healthcare services and one for pediatric healthcare services. All of our Owned Medical Groups are structured as limited liability companies, and in all of these Owned Medical Groups, a Privia-owned entity owns, at all times, at least 51% of the membership interest in the Owned Medical Group. The remaining 49% of the membership interest in each of the Owned Medical Group is owned by Privia Physicians licensed in the applicable state in which their Affiliated Practice location is located.</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District of Columbia has no direct prohibition on the corporate practice of medicine. While Maryland does not have a statutory ban on the corporate practice of medicine, the prohibition has been recognized by implication from its Medical Practice Act which, among other things, requires that no person practice medicine without a valid license. Since corporations are incapable of obtaining a medical license, corporations are incapable of practicing medicine in Maryland. However, Maryland does not apply its corporate practice of medicine prohibition to certain legal entities, including limited liability companies, which is how all of our Owned Medical Groups are structured. Likewise, Virginia and Georgia allow a limited liability company to furnish healthcare services though employed physicians, physician owners and independent contracted physicians.</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Nonetheless, to protect the underlying interests of the corporate practice of medicine prohibition, we further ensure that Privia Physicians are solely and exclusively in control of all aspects of the practice of medicine and the provision of professional physician services through the Owned Medical Groups, including, without limitation, decisions regarding professional medical judgment, diagnosis and treatment of patients, supervisory responsibility for all Privia Clinicians, supervision of all unlicensed individuals to whom the Privia Physician delegates nondiscretionary duties and any other individual, whether employed by the Medical Group or an independent contractor of the Medical Group, regardless of licensure status, providing any service to a patient of a Privia Physician. This safeguard is built into each Owned Medical Group’s operating agreement as well as the Privia Physician’s Physician Member Services Agreement with the Owned Medical Group.</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states that actively enforce, broadly define or do not recognize an applicable exception to the corporate practice of medicine prohibition, such as Texas and Tennessee, we have certain contractual relationships with Non-Owned Medical Groups. In such instances, the Non-Owned Medical Groups are wholly-owned by the Privia Physicians licensed in the state. While we typically have some governance rights under the operating agreement or bylaws of the Non-Owned Medical Group, our most significant rights are generally set forth in our MSAs with the Non-Owned Medical Groups. Further, at the current time, certain Privia Physicians with Privia leadership roles have formed friendly professional corporations (“friendly PCs”) as a structure to comply with to the corporate practice of medicine prohibition. However, these friendly PCs are not currently active and are in place solely in the event that our relationship with the Non-Owned Medical Groups terminates.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provide administrative services through our local MSOs for our Medical Groups. Although the structure of administrative fees can implicate limitations under state corporate practice of medicine prohibitions, our administrative services specifically reserve services that would constitute the practice of medicine with the Medical Group. The structure of administrative fees can also implicate state fee splitting prohibitions. Fee splitting prohibitions generally prohibit licensed physicians from sharing fees for healthcare services with lay persons. The scope of these laws generally range from a narrow reading limiting violations to the payment for referring work to a physician to broad prohibitions that limit percentage management fees or other variable fee arrangements. Tennessee, for instance, once strictly prohibited all percentage management fees; however, the statute was amended to allow percentage administrative fees so long as such fees are reasonably related to the services or goods furnished to the physician. Maryland’s law is essentially identical to Tennessee’s law. Florida, however, still prohibits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percentage administrative fees for most services furnished by a management company to a physician. Accordingly, although we typically charge a percentage management fee to our Medical Groups, in Florida, we charge a flat administrative fee based upon the Privia Physician’s expected collections for health care services. Similarly, although Texas has a fee splitting prohibition, it is rarely enforced by the Board of Medical Examiners and percentage fees for companies that charge management fees are not expressly forbidden; however, Texas courts have struck down arrangements in which the company received a percentage of the practice’s profits (as opposed to gross revenues). Although Georgia and the District of Columbia each has a fee splitting prohibition, each is limited to a physician paying for the referral of patients or other business. Georgia courts have consistently taken the position that the fee splitting prohibition is not violated when a physician pays collections over to a for-profit corporation or business for the provision of goods or services. Virginia’s fee splitting law is similar in scope to Georgia’s but is further limited to payments between licensed physicians.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Violations of the corporate practice of medicine prohibition vary by state and may result in Privia Physicians being subject to disciplinary action, as well as to forfeiture of revenues from payers for services rendered. For lay entities such as us, violations may also bring both civil and, in more extreme cases, criminal liability for engaging in the practice of medicine without a license. Any allegations or findings that we have violated these laws could have a material adverse impact on our business, results of operations and financial condition, including adversely impacting our relationship with Privia Physicians and our ability to recruit new physicians into affected Owned or Non-Owned Medical Groups.</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Below is a table that sets forth in greater detail certain differences between the way we contract with our Owned Medical Groups and the Non-Owned Medical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83185</wp:posOffset>
            </wp:positionV>
            <wp:extent cx="5203190" cy="2186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0319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All listed management services are offered to the Non-Owned Medical Groups, but some groups may only choose to use certain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Legal Organizational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120015</wp:posOffset>
            </wp:positionV>
            <wp:extent cx="5203190" cy="14573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0319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For presentation purposes, legal structure chart excludes wholly-owned intermediate legal entities between Privia Health Group, Inc. and Privia Management Company, LLC.</w:t>
      </w:r>
    </w:p>
    <w:p>
      <w:pPr>
        <w:spacing w:after="0" w:line="1" w:lineRule="exact"/>
        <w:rPr>
          <w:rFonts w:ascii="Arial" w:cs="Arial" w:eastAsia="Arial" w:hAnsi="Arial"/>
          <w:sz w:val="14"/>
          <w:szCs w:val="14"/>
          <w:color w:val="auto"/>
        </w:rPr>
      </w:pPr>
    </w:p>
    <w:p>
      <w:pPr>
        <w:ind w:right="100" w:firstLine="8"/>
        <w:spacing w:after="0" w:line="255" w:lineRule="auto"/>
        <w:tabs>
          <w:tab w:leader="none" w:pos="316"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All subsidiaries are 100% owned except for Owned Medical Groups and two MSOs, which are at least 51% owned. Variations of these local structures are repeated in each of our markets. * With representative local market examples.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Anti-Kickback Statute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health care program, including the Medicare and Medicaid programs.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Federal criminal penalties for the violation of the federal Anti-Kickback Statute include imprisonment, fines and exclusion from future participation in the federal health 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 care programs for a minimum of five years. Civil penalties for violation of the Anti-Kickback Statute include up to $100,000 in monetary penalties per violation, repayments of up to three times the total payments between the parties to the arrangement and suspension from future participation in Medicare and Medicaid.</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Court decisions have held that the statute may be violated even if only one purpose of remuneration is to induce referrals. That is, even if a business arrangement is for a legitimate purpose, it can still be found to violate the Anti-Kickback Statute if a secondary purpose is to induce referrals. The ACA amended the federal Anti-Kickback Statute to clarify that the defendant does not need to have actual knowledge of the federal Anti-Kickback Statute or have the specific intent to violate it. In addition, the ACA amended the federal Anti-Kickback Statute to provide that any claims for items or services resulting from a violation of the federal Anti-Kickback Statute are considered false or fraudulent for purposes of the FCA.</w:t>
      </w:r>
    </w:p>
    <w:p>
      <w:pPr>
        <w:spacing w:after="0" w:line="1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federal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federal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enter into several arrangements that could potentially implicate the Anti-Kickback Statute if requisite intent was present, such as:</w:t>
      </w:r>
    </w:p>
    <w:p>
      <w:pPr>
        <w:spacing w:after="0" w:line="171" w:lineRule="exact"/>
        <w:rPr>
          <w:sz w:val="20"/>
          <w:szCs w:val="20"/>
          <w:color w:val="auto"/>
        </w:rPr>
      </w:pPr>
    </w:p>
    <w:p>
      <w:pPr>
        <w:jc w:val="both"/>
        <w:ind w:left="328" w:hanging="328"/>
        <w:spacing w:after="0" w:line="269" w:lineRule="auto"/>
        <w:tabs>
          <w:tab w:leader="none" w:pos="323"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Joint ventures</w:t>
      </w:r>
      <w:r>
        <w:rPr>
          <w:rFonts w:ascii="Arial" w:cs="Arial" w:eastAsia="Arial" w:hAnsi="Arial"/>
          <w:sz w:val="17"/>
          <w:szCs w:val="17"/>
          <w:color w:val="auto"/>
        </w:rPr>
        <w:t>. We wholly own all of our subsidiaries except for our Owned Medical Groups, and two of our MSOs, where we have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These majority-owned subsidiaries do not satisfy all the requirements of the applicable OIG safe harbors and we have not sought an Advisory Opinion from the OIG relative to any such arrangements. Although failure to comply with a safe harbor does not render an arrangement illegal under the federal Anti-Kickback Statute, an arrangement that does not operate within a safe harbor may be subject to increased scrutiny and the OIG has warned in the past that certain joint venture relationships have a potential for abuse. Joint ventures that fall outside the safe harbors are evaluated on a case-by-case basis under the federal Anti-Kickback Statute. In this regard, we have endeavored to structure our joint ventures to satisfy as many elements of the applicable safe as we believe are commercially reasonable. Further, we typically build in certain safeguards in such arrangements to reduce the likelihood that the OIG would determine that the parties had the requisite intent to violate the Anti-Kickback Statute. However, since the arrangements may not satisfy all of the requirements of an applicable safe harbor, these arrangements could be subject to scrutiny on the ground that they are intended to induce patient referrals.</w:t>
      </w:r>
    </w:p>
    <w:p>
      <w:pPr>
        <w:spacing w:after="0" w:line="131" w:lineRule="exact"/>
        <w:rPr>
          <w:rFonts w:ascii="Arial" w:cs="Arial" w:eastAsia="Arial" w:hAnsi="Arial"/>
          <w:sz w:val="17"/>
          <w:szCs w:val="17"/>
          <w:color w:val="auto"/>
        </w:rPr>
      </w:pPr>
    </w:p>
    <w:p>
      <w:pPr>
        <w:jc w:val="both"/>
        <w:ind w:left="328" w:hanging="328"/>
        <w:spacing w:after="0" w:line="254" w:lineRule="auto"/>
        <w:tabs>
          <w:tab w:leader="none" w:pos="323"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Privia Physician Agreements</w:t>
      </w:r>
      <w:r>
        <w:rPr>
          <w:rFonts w:ascii="Arial" w:cs="Arial" w:eastAsia="Arial" w:hAnsi="Arial"/>
          <w:sz w:val="18"/>
          <w:szCs w:val="18"/>
          <w:color w:val="auto"/>
        </w:rPr>
        <w:t>. We enter into a number of different types of agreements with Privia Physicians, including member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physician leadership agreements, physician consultation arrangements, physician services agreements, and recruitment of physicians into our Owned and Non-Owned Medical Groups. Although we endeavor to structure these arrangements to comply with the federal Anti-Kickback Statute, these arrangements do not always satisfy all of the elements of the personal services and management contracts exception. Although we believe all such agreements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w:t>
      </w:r>
    </w:p>
    <w:p>
      <w:pPr>
        <w:spacing w:after="0" w:line="140" w:lineRule="exact"/>
        <w:rPr>
          <w:rFonts w:ascii="Arial" w:cs="Arial" w:eastAsia="Arial" w:hAnsi="Arial"/>
          <w:sz w:val="18"/>
          <w:szCs w:val="18"/>
          <w:color w:val="auto"/>
        </w:rPr>
      </w:pPr>
    </w:p>
    <w:p>
      <w:pPr>
        <w:jc w:val="both"/>
        <w:ind w:left="328" w:hanging="328"/>
        <w:spacing w:after="0" w:line="289" w:lineRule="auto"/>
        <w:tabs>
          <w:tab w:leader="none" w:pos="323"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Management Services Agreements</w:t>
      </w:r>
      <w:r>
        <w:rPr>
          <w:rFonts w:ascii="Arial" w:cs="Arial" w:eastAsia="Arial" w:hAnsi="Arial"/>
          <w:sz w:val="16"/>
          <w:szCs w:val="16"/>
          <w:color w:val="auto"/>
        </w:rPr>
        <w:t>. We enter into MSAs with each of our Owned and Non-Owned Medical Groups and our ACOs. Most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MSAs are structured as a percentage of collections generated our Privia Providers, or, if with an ACO, as a percentage of realized savings. Although we endeavor to structure these arrangements to comply with the federal Anti-Kickback Statute, these arrangements do not always satisfy all of the elements of the personal services and management contracts exception, which among other things, requires the total compensation amount to be fixed at execution of the MSA. Although we believe all such agreements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 Further, in certain of our markets, the management services organization is owned, in part, by Privia Physicians or health system partners, which could result in increased scrutiny from the OIG in the event that safeguards built into such arrangements are found insufficient to protect against inappropriate utilization.</w:t>
      </w:r>
    </w:p>
    <w:p>
      <w:pPr>
        <w:spacing w:after="0" w:line="112" w:lineRule="exact"/>
        <w:rPr>
          <w:rFonts w:ascii="Arial" w:cs="Arial" w:eastAsia="Arial" w:hAnsi="Arial"/>
          <w:sz w:val="16"/>
          <w:szCs w:val="16"/>
          <w:color w:val="auto"/>
        </w:rPr>
      </w:pPr>
    </w:p>
    <w:p>
      <w:pPr>
        <w:jc w:val="both"/>
        <w:ind w:left="328" w:hanging="328"/>
        <w:spacing w:after="0" w:line="272" w:lineRule="auto"/>
        <w:tabs>
          <w:tab w:leader="none" w:pos="323"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Service Agreements with Privia Physician’s Affiliated Practices</w:t>
      </w:r>
      <w:r>
        <w:rPr>
          <w:rFonts w:ascii="Arial" w:cs="Arial" w:eastAsia="Arial" w:hAnsi="Arial"/>
          <w:sz w:val="17"/>
          <w:szCs w:val="17"/>
          <w:color w:val="auto"/>
        </w:rPr>
        <w:t>. Our Owned and Non-Owned Medical Groups procure certain services,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to space, equipment and non-physician personnel from our Privia Physicians’ Affiliated Practices. Although we endeavor to structure these arrangements to comply with the federal Anti-Kickback Statute, these arrangements do not always satisfy all of the elements of the personal services and management contracts exception, which among other things, requires the total compensation amount to be fixed at execution of the service agreement. Although we believe all such agreements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w:t>
      </w:r>
    </w:p>
    <w:p>
      <w:pPr>
        <w:spacing w:after="0" w:line="123"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Rebates</w:t>
      </w:r>
      <w:r>
        <w:rPr>
          <w:rFonts w:ascii="Arial" w:cs="Arial" w:eastAsia="Arial" w:hAnsi="Arial"/>
          <w:sz w:val="18"/>
          <w:szCs w:val="18"/>
          <w:color w:val="auto"/>
        </w:rPr>
        <w:t>. Certain of our MSAs include the payment of rebates from management fees previously paid in the event that certain conditions occur.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endeavor to structure such rebate to comply with the federal Anti-Kickback Statute safe harbor for discounts. This safe harbor, however, has recently been subject to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41" w:name="page142"/>
    <w:bookmarkEnd w:id="141"/>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court cases that have had the effect of undermining the health care industry’s confidence in the safe harbor protection. The new safe harbor for certain pharmacy benefit manager service fees, which was published by the OIG on November 30, 2020, however, takes the position that rebates arrangements can also quality for the personal services and management contracts exception. Although we believe all such rebate arrangements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w:t>
      </w:r>
    </w:p>
    <w:p>
      <w:pPr>
        <w:spacing w:after="0" w:line="138" w:lineRule="exact"/>
        <w:rPr>
          <w:sz w:val="20"/>
          <w:szCs w:val="20"/>
          <w:color w:val="auto"/>
        </w:rPr>
      </w:pPr>
    </w:p>
    <w:p>
      <w:pPr>
        <w:jc w:val="both"/>
        <w:ind w:left="660" w:hanging="328"/>
        <w:spacing w:after="0" w:line="255"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Sales forces and patient recruitment</w:t>
      </w:r>
      <w:r>
        <w:rPr>
          <w:rFonts w:ascii="Arial" w:cs="Arial" w:eastAsia="Arial" w:hAnsi="Arial"/>
          <w:sz w:val="18"/>
          <w:szCs w:val="18"/>
          <w:color w:val="auto"/>
        </w:rPr>
        <w:t>. The OIG has expressed concern regarding the use of non-employed sales forces to recruit or facilitate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recruiting of patients or referrals, especially when the sales agent is compensated in a manner that provides rewards or incentives on a volume or value basis. Accordingly, commissions or per-patient based compensation methodologies are closely scrutinized by federal agencies. We employ our own sales force and attempt to meet the Anti-Kickback Safe Harbor for Bona Fide Employment; however, in limited instances we use external companies to assist with certain aspects of these efforts, but only in arrangements that we believe do not violate the Anti-Kickback Statute or other applicable laws.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 care programs. Any findings that we have violated these laws could have a material adverse impact on our business, results of operations, financial condition, cash flows, reputation and stock price.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part of HHS’s Regulatory Sprint to Coordinated Care, or the Regulatory Sprint, OIG issued a request for information in August 2018 seeking input on regulatory provisions that may act as barriers to coordinated care or VBC. Specifically, OIG sought to identify ways in which it might modify or add new safe harbors to the Anti-Kickback Statute (as well as exceptions to the definition of “remuneration” in the beneficiary inducements provision of the Civil Monetary Penalty statute) in order to foster arrangements that promote care coordination and advance the delivery of VBC, while also protecting against harms caused by fraud and abuse. Numerous federal agencies have requested comments and information from the public and have published proposed regulations as part of the Regulatory Sprint on areas that have historically been viewed as barriers to innovative care coordination arrangements. For example, OIG and the CMS each issued a sweeping set of proposed regulations that introduce significant new value-based terminology, safe harbors and exceptions to the federal Anti-Kickback Statute and the Stark Law.</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November 2020, CMS and the OIG issued final regulations creating a number of safe harbor for care coordination activities and value-based arrangements. These new safe harbors allow, among other things, certain outcomes based payments, care coordination arrangements, the provision of telehealth technologies and arrangements for patient engagement to be structured in such a matter as to avoid scrutiny under the Anti-Kickback Statute. Although the health care industry is still trying to determine what business models will benefit from such arrangements, we expect that such safe harbors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with less integrated and operationally cheaper business models.</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OIG has called for comments and issued proposed regulations related to modernizing the Civil Monetary Penalty law governing inducements provided to Medicare and Medicaid beneficiaries. The OCR is also involved, and has called for information from the public regarding ways that the HIPAA regulations could be modernized to support coordinated, VBC. Additionally, the Substance Abuse and Mental Health Services Administration, or SAMHSA, published proposed regulations related to the privacy of substance use disorder treatment records, and CMS published proposals to revise its Stark Law’s advisory opinion process. We anticipate many more proposals and changes into the future as part of this initiative. These changes in federal regulations are anticipated to make a significant impact on health care providers and other stakeholders. These and similar changes may cause OIG, CMS or other regulators to change the parameters of rules and regulations that we must follow and thus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Stark Law</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Stark Law prohibits a physician who has a financial relationship, or who has an immediate family member who has a financial relationship, with entities providing certain Designated Health Services, or DHS, from referring Medicare patients to such entities for the furnishing of DHS, unless an exception applies. Although uncertainty exists, federal agencies and at least one court have taken the position that the Stark Law also applies to Medicaid. DHS is defined to include clinical laboratory services, physical therapy services, occupational therapy services, radiology services including magnetic resonance imaging, computerized axial tomography scans, and ultrasound services, radiation therapy services and supplies, durable medical equipment and supplies, parenteral and enteral nutrients, equipment, and supplies, prosthetics, orthotics and prosthetic devices and supplies, home health services, outpatient prescription drugs, inpatient and outpatient hospital services and outpatient speech-language pathology services. The types of financial arrangements between a physician and an entity providing DHS that trigger the self-referral prohibitions of the Stark Law are broad and include direct and indirect ownership and investment interests and compensation arrangements. The Stark Law prohibits any entity providing DHS that has received a prohibited referral from presenting, or causing to be presented, a claim or billing for the services arising out of the prohibited referral. Similarly, the Stark Law prohibits an entity from “furnishing” a DHS to another entity in which it has a financial relationship when that entity bills for the service. The Stark Law also prohibits self-referrals within an organization by its own physicians, although broad exceptions exist that cover employed physicians and those referring DHS certain in-office ancillary services so long as certain standards are satisfied. The prohibition applies regardless of the reasons for the financial relationship and the referral. Unlike the federal Anti-Kickback Statute, the Stark Law is a strict liability violation where unlawful intent need not be demonstrated.</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the Stark Law is implicated, the financial relationship must fully satisfy a Stark Law exception. If an exception is not satisfied, then the parties to the arrangement could be subject to sanctions. Sanctions for violation of the Stark Law include denial of payment for claims for services provided in violation of the prohibition, refunds of amounts collected in violation of the prohibition, a civil penalty for each service arising out of the prohibited referral, a civil penalty against parties that enter into a scheme to circumvent the Stark Law prohibition, civil assessment of up to three times the amount claimed and potential exclusion from the federal health 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FCA liability, as further discussed herein.</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CMS or other regulatory or enforcement authorities determine that claims have been submitted for referrals by our Privia Physicians that violate the Stark Law, we would be subject to the penalties described above. In addition, it might be necessary to restructure existing compensation agreements with our physicians and/or Owned or Non-Owned Medical Groups. Any such penalties and restructuring or other required actions could have a material adverse effect on our business, results of operations, financial condition and cash flows.</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June 2018, CMS issued a request for information seeking input on how to address any undue regulatory impact and burden of the Stark Law. CMS placed the request for information in the context of the Regulatory Sprint and stated that it identified aspects of the Stark Law that pose potential barriers to coordinated care. CMS thus sought comments on the impact and burden of the Stark Law, including whether it prevents or inhibits care coordination. In November 2020, CMS has since issued a sweeping set of proposed regulations that introduce significant new value-based terminology, safe harbors and exceptions to the Stark Law. Additionally, CMS made some changes to certain existing exceptions to the Stark Law, including the definition of group practice, which do not into effect until January 1, 2022 but which may require significant restructuring of how our Medical Groups’ compensation of Privia Physicians for DHS in certain markets. Although the health care industry is still trying to determine what business models will benefit from the changes to the Stark Law, we expect that the new exceptions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by offering less integrated and operationally cheaper business models. Those or other changes implemented by CMS may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and our Owned or Non-Owned Medical Groups have entered into several types of financial relationships with Privia Physicians, either directly or indirectly, including MSAs, physician consulting agreements, physician services agreements, physician leadership agreements and support services agreements. In structuring such arrangements, we generally rely upon the personal services exception or the in-office ancillary services exception. In addition, our Owned and Non-Owned Medical Groups are structured to satisfy the Stark Law’s definition of group practice, which allows us greater flexibility in structuring compensation and furnishing DHS to patients. If our Owned or Non-Owned Medical Groups were to bill for DHS referred by our Privia Physicians and the underlying relationship between the Owned or Non-Owned Medical Groups and the referring physician was found to not satisfy an exception to the Stark Law, our Owned or Non-Owned Medical Groups could be required to restructure their relationships with Privia Physicians, face civil penalties, pay substantial fines, return as overpayments any reimbursement from Medicare received for such DHS or otherwise experience a material adverse effect, including loss of reputation, inability to recruit additional practices, loss of revenue, and increased costs of operations. This prohibition also limits how we may pursue physician opportunities in the future. For example, were we to pursue a physician practice acquisition strategy, the Stark Law would limit both how we structure such acquisitions and our range of purchase prices for such acquisitions.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Fraud and Abuse under State Law</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states have also passed anti-kickback statutes and physician self-referral prohibitions similar to the Federal Anti-Kickback Statute and the Stark Law. However, in many of the states we operate, these state self-referral prohibitions are often drafted broadly to cover all payers (i.e., not restricted to Medicare and other federal health care programs). Maryland, for example, has adopted the Maryland Patient Referral Law, which puts a number of additional restrictions on group practices trying to furnish “designated services” in the State of Maryland regardless of the payer for such “designated services.” Further, state self-referral prohibitions often lack substantive regulatory guidance, court interpretation or, even worse, appear to be arbitrary determinations by the state physician licensure board. Accordingly, even when we structure an arrangement to comply with the federal Anti-Kickback Statute or the Stark Law, such state laws may place substantive limitations on how we structure our relationships with our Medical Groups, and how they structure their relationships with Privia Physicians. A violation of such laws could result in prohibition on billing payers for such services, result in civil or criminal penalty and could adversely affect any licenses that we or our Privia Physicians hold in the state.</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these state fraud and abuse laws only apply to certain programs within the state such as the state Medicaid program or state workers’ compensation program. Generally, however, the exceptions or exemptions under state fraud and abuse laws, are less robust and developed than their federal counter parts. The state may, however, commit little or no resources to enforcement so, at times, such risks are practically reduced. Nonetheless, if such laws are found to apply to our relationships with our Medical Groups, or their relationships with Privia Physicians, including Privia Physicians who may hold our publicly traded stock, and for which no applicable exception exists, we may be required to terminate or restructure our relationships with these Privia Physicians and could be subject to criminal, civil and administrative sanctions, refund requirements and exclusions from government health care programs, including Medicare and Medicaid, which could have a material adverse effect on our business, results of operations, financial condition, cash flows, reputation and stock price.</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With respect to most of the states in which our Medical Groups operate, compliance with the Stark Law generally equates to compliance with the state self-referral prohibition. Notably, Maryland has adopted the Maryland Patient Referral Law, and its equivalent exception to the Stark law’s in-office ancillary services exception requires that the Owned Medical Group employs the person furnishing the service and such must be performed in a location of the Owned Medical Group. Although most of our agreements with Privia Physicians in Maryland implicate this statue, we have structured our arrangements, with the assistance of outside counsel, to comply in all material respects with Maryland’s self-referral prohibition, including our Mid-Atlantic physician office laboratory located in Maryland. Tennessee’s self-referral law derives from the early American Medical Association actions relative to self-referrals rather than the Stark Law; however, generally, Tennessee’s law does not prohibit referrals from a physician to an entity at which the physician performs services or an entity that meets a demonstrated need in the community. In Texas, the Texas Patient Solicitation Act, while similarly worded to the Federal Anti-Kickback Statute, applies to all payers, not just federal or state health care programs. However, the establishment of the medical necessity of the referral and the patient’s consent to treatment generally is sufficient to avoid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Texas statute. Finally, Florida has the Patient Anti-Brokering Act, which is essentially a state anti-kickback statute and a state self-referral prohibition. All of our contractual arrangements in Florida are structured to comply with these statutory limitations.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states have beneficiary inducement prohibitions and consumer protection laws that may be triggered by the offering of inducements, incentives and other forms of remuneration to patients and prospective patients. States also may limit the types of marketing activities that we, our Medical Groups and our Privia Physicians may take targeted towards patients. Violations of such laws range from civil to criminal and could have a material adverse effect on our business, results of operations and financial condition.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False Claims Act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federal FCA is a means of policing false bills or false requests for payment in the healthcare delivery system. Among other things, the FCA authorizes the imposition of up to three times the government’s damages and significant per claim civil penalties on any “person” (including an individual, organization or company) who, among other acts:</w:t>
      </w:r>
    </w:p>
    <w:p>
      <w:pPr>
        <w:spacing w:after="0" w:line="130"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knowingly presents or causes to be presented to the federal government a false or fraudulent claim for payment or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knowingly makes, uses or causes to be made or used a false record or statement material to a false or fraudulent claim;</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knowingly makes, uses or causes to be made or used a false record or statement material to an obligation to pay the government, or knowingly conceals or knowingly and improperly avoids or decreases an obligation to pay or transmit money or property to the federal government; or</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conspires to commit the above acts.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amendments to the FCA and Social Security Act impose severe penalties for the knowing and improper retention of overpayments collected from federal health care programs. Under these provisions, within 60 days of identifying and quantifying an overpayment, a provider is required to notify CMS or the Medicare Administrative Contractor of the overpayment and the reason for it and return the overpayment. An overpayment impermissibly retained could subject us to liability under the FCA, exclusion from government healthcare programs and penalties under the federal Civil Monetary Penalty statute. As a result of these provisions, our procedures for identifying and processing overpayments may be subject to greater scrutiny.</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penalties for a violation of the FCA range $11,665 to $23,331 per false claim or statement (as of June 19, 2020, and subject to annual adjustments for inflation) for each false claim, plus up to three times the amount of damages caused by each false claim, which can be as much as the amounts received directly or indirectly from the federal health care program for each such false claim.</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federal government has used the FCA to prosecute a wide variety of alleged false claims and fraud allegedly perpetrated against federal health care programs, including Medicare and Medicaid, including but not limited to coding errors, submission of false Medicare enrollment information,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to Medicare Advantage plans. The ACA provides that claims tainted by a violation of the federal Anti-Kickback Statute are false for purposes of the FCA. Some courts have held that filing claims or failing to refund amounts collected in violation of the Stark Law can form the basis for liability under the FCA. In addition to the provisions of the FCA, which provide for civil enforcement,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business, results of operations, reputation, growth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addition to the FCA, the various states in which we operate have adopted their own analogs of the FCA. States are becoming increasingly active in using their false claims laws to police the same activities listed above, particularly with regard to Medicaid FFS and Managed Medicaid programs.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Civil Monetary Penalties Statute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16" w:lineRule="exact"/>
        <w:rPr>
          <w:sz w:val="20"/>
          <w:szCs w:val="20"/>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presenting, or causing to be presented, claims for payment to Medicare, Medicaid or other third-party payers that the individual or entity knows or should know are for an item or service that was not provided as claimed or is false or fraudulent;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arranging contracts with an entity or individual excluded from participation in the federal health care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violating the federal Anti-Kickback Statute;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making, using or causing to be made or used a false record or statement material to a false or fraudulent claim for payment for items and services furnished under a federal health care program;</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failing to report and return an overpayment owed to the federal government.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Substantial civil monetary penalties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health care programs.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could be exposed to a wide range of allegations to which the federal Civil Monetary Penalties Law would apply. We perform monthly exclusion database checks on our employees, Privia Physicians and certain vendors using government databases to confirm that these individuals have not been excluded from federal programs. However, should an individual become excluded and we fail to detect it, a federal agency could require us to refund amounts attributable to all claims or services performed or sufficiently linked to an excluded individual. Likewise, our patient facing initiatives, which can include additional care coordination to patients not otherwise covered under traditional Medicare, could be alleged to be intended to influence the patient’s choice of provider in obtaining services or the amount or types of services sought. Thus, we cannot foreclose the possibility that we will face allegations subject to the Civil Monetary Penalties Law with the potential for a material adverse impact on our business, results of operations and financial condition.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federal regulations promulgated under the authority of HIPAA require covered entities to provide certain protections to patients and their health information. The HIPAA privacy and security regulations extensively regulate the use and disclosure of PHI and other types of PII, and require covered entities, which include health plans, health care clearinghouses, employers that provide self-funded or self-administered health insurance benefits, healthcare providers and their business associates, to implement and maintain administrative, physical and technical safeguards to protect the security of such information. Additional security requirements apply to electronic PHI. These regulations also provide patients with substantive rights with respect to their health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HIPAA privacy and security regulations also require covered entities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an employer that offers self-insured health benefits, we are a covered entity under HIPAA. Further, in the provision of management services to our Medical Groups, we are a business associate to those practices. Our Medical Groups are all covered entities as well. Further, our Owned and Non-Owned Medical Groups act as an affiliated covered entity under HIPAA, which, among other things allow them to operate a single set of privacy and security standards, a single notice of privacy practices, appoint a single privacy and security officer, and imposes on them joint and several liability relative to any violations of HIPAA.</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per violation and up to $1.5 million per year for identical violations, adjusted annually for inflation.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Numerous other federal and state laws and regulations protect the confidentiality, privacy, availability, integrity and security of PHI and other types of PII. State statutes and regulations vary from state to state and these laws and regulations in many cases are more restrictive than HIPAA and its implementing rules. These laws and regulations are often uncertain, contradictory, and subject to changes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such as Virginia, also afford private rights of action to individuals who believe their PII has been misused.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2010, broad healthcare reform legislation was enacted in the United States through the ACA. Although many of the provisions of the ACA did not take effect immediately and continue to be implemented, and some have been and may be modified before or during their implementation, the reforms could continue to have an impact on our business in a number of ways. We cannot predict how employers, commercial payers or persons buying insurance might react to federal and state healthcare reform legislation, whether already enacted or enacted in the future, nor can we predict what form many of these regulations will take before implementation.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Other aspects of ACA may also affect our business, including provisions that impact the Medicare and Medicaid programs. These and other provisions of the ACA remain subject to ongoing uncertainty due to developing regulations and clarifications, including those described above, as well as continuing political and legal challenges at both the federal and state levels. Since 2016, various administrative and legislative initiatives have been implemented that have had adverse impacts on the ACA and its programs. For example, in October 2017, the federal government announced that cost-sharing reduction payments to insurers would end, effective immediately, unless Congress appropriated the funds, and, in December 2017, Congress passed the Tax Cuts and Jobs Act, which includes a provision that eliminates the penalty under the ACA’s individual mandate for individuals who fail to obtain a qualifying health insurance plan and could impact the future state of the exchanges. Moreover, in February 2018, Congress passed the Balanced Budget Act, or the BBA, which, among other things, repealed the Independent Payment Advisory Board that was established by the ACA and intended to reduce the rate of growth in Medicare spending by extending sequestration cuts to Medicare payments,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2020 due to the COVID-19 pandemic. The Consolidated Appropriations Act, 2021, extended the Medicare suspension through the first quarter of 2021. On April 14, 2021, President Biden signed into law H.R. 1868, which extends the suspension of Medicare sequestration through December 31, 2021.</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for 2021 may decrease our Medical Groups’ uninsured patient populations while increasing enrollment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there may be significant changes to the healthcare environment in the future, the specific changes and their timing are not yet apparent. As a result, there is considerable uncertainty regarding the future with respect to the exchanges and other core aspects of the current health care marketplace. Future elections may create conditions for Congress to adopt new federal coverage programs that may disrupt our current commercial payer revenue streams. While specific changes and their timing are not yet apparent, such changes could lower our reimbursement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Bearing Provider Regulation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of the states where we currently operate or may choose to operate in the future regulate what types of risk a provider can take and from what types of entities without triggering state insurance laws. For example, state direct primary care laws may allow a provider to assume risk for primary care services but if the provider assumes risks for other services, such as facility services or specialty services, the provider may be subject to state insurance laws. State insurance laws may impose conditions on the operations and financial condition of risk bearing providers such as our Owned and Non-Owned Medical Groups, or ACOs. These regulations can include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licensing or certification, governance controls and other similar matters. While these regulations have not had a material impact on our business to date, as we continue to expand and move more physician services to value based, these rules may require additional resources and capitalization and add complexity to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Owned and Non-Owned Medical Groups’ operations are subject to various state hazardous waste and non-hazardous medical waste disposal laws, state law requirements for licensure of ancillary services such as lab services, pharmacy services, and operation of radiological producing equipment, federal Clinical Laboratory Improvement Amendments of 1988, Occupational Safety and Health Administration standards, including the Bloodborne Pathogens Standards, Drug Enforcement Administration standards for administering and prescribing controlled substances and distributing drug samples, reporting financial relationships with drug, biologicals and medical device companies and numerous other federal, state and local laws governing the day-to-day provision of medical services by our Affiliated Provider. These regulatory requirements apply to both our practices and our providers. Any allegations or findings that we or our providers have violated any of these laws or regulations could have a material adverse impact on our business, results of operations and financial condition.</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Further, federal and state law in each state we currently operate are increasingly imposing oversight, reporting requirements, and other safeguards on our providers that prescribe opioids and other pain medicine. Texas, for instance, has adopted a number of amendments to existing laws and regulatory changes to limit prescription sizes, frequency, and requiring providers to access the Prescription Drug Monitoring Program before prescribing or dispensing controlled substances. In addition, federal and state investigators have increased enforcement efforts relative to inappropriate opioid prescribing patterns by providers. Although the burden of such compliance is largely on the Affiliated Provider, any failure to comply with such legal and regulatory requirements could adversely impact our business, results of operations, reputation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and Termination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our anchor strategic partnership arrangement is typically between five to ten years and automatically renews unless either the anchor partner or we decide not to renew. These agreements further have other custom rights, non-solicitation, exclusivity, termination and post termination provisions terms that are unique to each situation.</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term of our in-market new provider partnership agreement is typically three years and automatically renews unless either the practice or we decide not to renew. These agreements could also have other specific provisions and terms that may be unique to each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Payer Relationships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understand that individuals and employer groups are facing unprecedented rising healthcare costs. Our robust medical economics team supports creative narrow network designs that deliver high-quality care at a lower cost. We leverage data and provider input to enable them to grow their patient base and influence how care is delivered. Ultimately, our networks enable providers to connect with new patient populations, create custom contracts that provide greater value, and further integrate with their community. We partner with a large and diverse set of payer groups nationally and in each of our markets to form provider networks, lower cost of care, and construct bespoke contracts to help both providers and payers achieve their objectives in a mutually aligned manner.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2021, across Privia Health Group, Inc., we had 690 employees in 33 states and the District of Columbia. None of our employees are represented by labor unions or covered by collective bargaining agreements. We consider our relationship with our employees to be good and we have not experienced any work stoppages. We believe our geographically dispersed employees in 33 states and the District of Columbia, despite our current operations in six states and the District of Columbia, are a competitive advantage. Our remote workforce strategy allows us to hire the best possible talent irrespective of geographic constraints across many functional roles. Our internal systems and processes are designed to ensure our remote employees are productive and contribute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meaningfully. This has enabled us to successfully continue to operate without disruption in the recent months despite the impact of and restrictions imposed by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headquarters are located in Arlington, Virginia and consist of approximately 37,000 square feet of leased space. Our lease on this space expires on September 30, 2026. We have also leased a combined 21,200 square feet of space in Maryland, Georgia and Texas for our other offices. We believe that our headquarters and other offices are adequate for our immediate needs and that additional or substitute space is available if needed to accommodate growth and expansion.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involved in, and may in the future become involved in, legal proceedings, claims and investigations in the ordinary course of our business, including medical malpractice and consumer claims.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the directors, director nominees and executive officers of Privia Health Group,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580" w:type="dxa"/>
            <w:vAlign w:val="bottom"/>
            <w:gridSpan w:val="4"/>
          </w:tcPr>
          <w:p>
            <w:pPr>
              <w:ind w:left="140"/>
              <w:spacing w:after="0"/>
              <w:rPr>
                <w:sz w:val="20"/>
                <w:szCs w:val="20"/>
                <w:color w:val="auto"/>
              </w:rPr>
            </w:pPr>
            <w:r>
              <w:rPr>
                <w:rFonts w:ascii="Arial" w:cs="Arial" w:eastAsia="Arial" w:hAnsi="Arial"/>
                <w:sz w:val="13"/>
                <w:szCs w:val="13"/>
                <w:b w:val="1"/>
                <w:bCs w:val="1"/>
                <w:color w:val="auto"/>
              </w:rPr>
              <w:t>Age</w:t>
            </w:r>
          </w:p>
        </w:tc>
        <w:tc>
          <w:tcPr>
            <w:tcW w:w="5280" w:type="dxa"/>
            <w:vAlign w:val="bottom"/>
          </w:tcPr>
          <w:p>
            <w:pPr>
              <w:ind w:left="2420"/>
              <w:spacing w:after="0"/>
              <w:rPr>
                <w:sz w:val="20"/>
                <w:szCs w:val="20"/>
                <w:color w:val="auto"/>
              </w:rPr>
            </w:pPr>
            <w:r>
              <w:rPr>
                <w:rFonts w:ascii="Arial" w:cs="Arial" w:eastAsia="Arial" w:hAnsi="Arial"/>
                <w:sz w:val="13"/>
                <w:szCs w:val="13"/>
                <w:b w:val="1"/>
                <w:bCs w:val="1"/>
                <w:color w:val="auto"/>
              </w:rPr>
              <w:t>Position</w:t>
            </w:r>
          </w:p>
        </w:tc>
      </w:tr>
      <w:tr>
        <w:trPr>
          <w:trHeight w:val="229"/>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Shawn Morris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Parth Mehrotra</w:t>
            </w:r>
          </w:p>
        </w:tc>
        <w:tc>
          <w:tcPr>
            <w:tcW w:w="480" w:type="dxa"/>
            <w:vAlign w:val="bottom"/>
          </w:tcPr>
          <w:p>
            <w:pPr>
              <w:ind w:left="1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Bartrum</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David Mountcastle</w:t>
            </w:r>
          </w:p>
        </w:tc>
        <w:tc>
          <w:tcPr>
            <w:tcW w:w="480" w:type="dxa"/>
            <w:vAlign w:val="bottom"/>
          </w:tcPr>
          <w:p>
            <w:pPr>
              <w:ind w:left="14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52"/>
        </w:trPr>
        <w:tc>
          <w:tcPr>
            <w:tcW w:w="53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580" w:type="dxa"/>
            <w:vAlign w:val="bottom"/>
            <w:gridSpan w:val="4"/>
          </w:tcPr>
          <w:p>
            <w:pPr>
              <w:ind w:left="140"/>
              <w:spacing w:after="0"/>
              <w:rPr>
                <w:sz w:val="20"/>
                <w:szCs w:val="20"/>
                <w:color w:val="auto"/>
              </w:rPr>
            </w:pPr>
            <w:r>
              <w:rPr>
                <w:rFonts w:ascii="Arial" w:cs="Arial" w:eastAsia="Arial" w:hAnsi="Arial"/>
                <w:sz w:val="13"/>
                <w:szCs w:val="13"/>
                <w:b w:val="1"/>
                <w:bCs w:val="1"/>
                <w:color w:val="auto"/>
              </w:rPr>
              <w:t>Age</w:t>
            </w:r>
          </w:p>
        </w:tc>
        <w:tc>
          <w:tcPr>
            <w:tcW w:w="5280" w:type="dxa"/>
            <w:vAlign w:val="bottom"/>
          </w:tcPr>
          <w:p>
            <w:pPr>
              <w:ind w:left="2420"/>
              <w:spacing w:after="0"/>
              <w:rPr>
                <w:sz w:val="20"/>
                <w:szCs w:val="20"/>
                <w:color w:val="auto"/>
              </w:rPr>
            </w:pPr>
            <w:r>
              <w:rPr>
                <w:rFonts w:ascii="Arial" w:cs="Arial" w:eastAsia="Arial" w:hAnsi="Arial"/>
                <w:sz w:val="13"/>
                <w:szCs w:val="13"/>
                <w:b w:val="1"/>
                <w:bCs w:val="1"/>
                <w:color w:val="auto"/>
              </w:rPr>
              <w:t>Position</w:t>
            </w:r>
          </w:p>
        </w:tc>
      </w:tr>
      <w:tr>
        <w:trPr>
          <w:trHeight w:val="23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Shawn Morris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Jeff Bernstein</w:t>
            </w:r>
          </w:p>
        </w:tc>
        <w:tc>
          <w:tcPr>
            <w:tcW w:w="480" w:type="dxa"/>
            <w:vAlign w:val="bottom"/>
          </w:tcPr>
          <w:p>
            <w:pPr>
              <w:ind w:left="1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 Butler</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David King</w:t>
            </w:r>
          </w:p>
        </w:tc>
        <w:tc>
          <w:tcPr>
            <w:tcW w:w="480" w:type="dxa"/>
            <w:vAlign w:val="bottom"/>
          </w:tcPr>
          <w:p>
            <w:pPr>
              <w:ind w:left="1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McCarthy</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Will Sherrill</w:t>
            </w:r>
          </w:p>
        </w:tc>
        <w:tc>
          <w:tcPr>
            <w:tcW w:w="480" w:type="dxa"/>
            <w:vAlign w:val="bottom"/>
          </w:tcPr>
          <w:p>
            <w:pPr>
              <w:ind w:left="1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 Sullivan</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Patricia Maryland</w:t>
            </w:r>
          </w:p>
        </w:tc>
        <w:tc>
          <w:tcPr>
            <w:tcW w:w="480" w:type="dxa"/>
            <w:vAlign w:val="bottom"/>
          </w:tcPr>
          <w:p>
            <w:pPr>
              <w:ind w:left="16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Jaewon Ryu</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biographical summary of the experience of our executive officers and directors:</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Shawn Morris </w:t>
      </w:r>
      <w:r>
        <w:rPr>
          <w:rFonts w:ascii="Arial" w:cs="Arial" w:eastAsia="Arial" w:hAnsi="Arial"/>
          <w:sz w:val="17"/>
          <w:szCs w:val="17"/>
          <w:color w:val="auto"/>
        </w:rPr>
        <w:t>has served as our Chief Executive Officer and a member of our board of directors since May 2018. Prior to his role at Privia Health,</w:t>
      </w:r>
      <w:r>
        <w:rPr>
          <w:rFonts w:ascii="Arial" w:cs="Arial" w:eastAsia="Arial" w:hAnsi="Arial"/>
          <w:sz w:val="17"/>
          <w:szCs w:val="17"/>
          <w:b w:val="1"/>
          <w:bCs w:val="1"/>
          <w:color w:val="auto"/>
        </w:rPr>
        <w:t xml:space="preserve"> </w:t>
      </w:r>
      <w:r>
        <w:rPr>
          <w:rFonts w:ascii="Arial" w:cs="Arial" w:eastAsia="Arial" w:hAnsi="Arial"/>
          <w:sz w:val="17"/>
          <w:szCs w:val="17"/>
          <w:color w:val="auto"/>
        </w:rPr>
        <w:t>Mr. Morris was the President of Cigna-HealthSpring, a Cigna company, from 2016 to 2018. Prior to 2016 and beginning in 2010, Mr. Morris held various leadership roles at Cigna-HealthSpring, including the positions of Chief Operating Officer, President of Development &amp; Innovation, and Executive Vice President. Mr. Morris received a B.S. in Accounting from the Western Kentucky University and is a Certified Public Accountant. Mr. Morris is also a graduate of Dartmouth College’s Tuck Business School 2030 Global Executive program, an inaugural Fellow of the Nashville Healthcare Council and a member of the American Society of CPAs, National Association of Corporate Directors and the American Medical Association CEO Advisory Committee. Mr. Morris is a valuable member of our board of directors because of his extensive experience in the healthcare industry and prior track record as a senior executive at a large healthcare company.</w:t>
      </w:r>
    </w:p>
    <w:p>
      <w:pPr>
        <w:spacing w:after="0" w:line="11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Parth Mehrotra </w:t>
      </w:r>
      <w:r>
        <w:rPr>
          <w:rFonts w:ascii="Arial" w:cs="Arial" w:eastAsia="Arial" w:hAnsi="Arial"/>
          <w:sz w:val="18"/>
          <w:szCs w:val="18"/>
          <w:color w:val="auto"/>
        </w:rPr>
        <w:t>has served as our President and Chief Operating Officer since 2018. Prior to his role at Privia Health, Mr. Mehrotra was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Brighton Health Group Holdings, LLC from 2016 to 2018, the parent company of Privia Health. Prior to 2016, Mr. Mehrotra held a senior finance role at athenahealth Inc., and also worked in the healthcare investment banking group at Goldman Sachs and Co. and as a management consultant at Accenture. Mr. Mehrotra received an M.B.A. from Northwestern University’s Kellogg School of Management and a B.A. in Economics from St. Stephen’s College, University of Delhi.</w:t>
      </w:r>
    </w:p>
    <w:p>
      <w:pPr>
        <w:spacing w:after="0" w:line="1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Thomas Bartrum </w:t>
      </w:r>
      <w:r>
        <w:rPr>
          <w:rFonts w:ascii="Arial" w:cs="Arial" w:eastAsia="Arial" w:hAnsi="Arial"/>
          <w:sz w:val="18"/>
          <w:szCs w:val="18"/>
          <w:color w:val="auto"/>
        </w:rPr>
        <w:t>has served as our Executive Vice President and General Counsel since 2015. Prior to his role at Privia Health, Mr. Bartrum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Baker, Donelson, Bearman, Caldwell and Berkowitz P.C., where his practice focused on healthcare regulatory matters, including the representation of Privia Health as outside counsel, helping the company develop its legal and strategic framework. Mr. Bartrum received a J.D. from the University of Kentucky, an M.Jur. in Health Law from Loyola University and a B.A. in Chemistry from Bellarmine University. Mr. Bartrum is also the founding co-chair of the American Health Lawyers’ Association’s ACO Task Force.</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David Mountcastle </w:t>
      </w:r>
      <w:r>
        <w:rPr>
          <w:rFonts w:ascii="Arial" w:cs="Arial" w:eastAsia="Arial" w:hAnsi="Arial"/>
          <w:sz w:val="18"/>
          <w:szCs w:val="18"/>
          <w:color w:val="auto"/>
        </w:rPr>
        <w:t>has served as our Chief Financial Officer since 2014. Prior to his role at Privia Health, Mr. Mountcastle was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Brainware Inc., held multiple senior finance roles at iDirect,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was a regional Chief Financial Officer for Coventry and held multiple senior regional finance roles with United Healthcare. Mr. Mountcastle started his career with Ernst &amp; Young in their Entrepreneurial Services Division. Mr. Mountcastle received a M.B.A. with dual concentration in Finance and Information Systems from Virginia Commonwealth University and a BBA in Accounting Information Systems from James Madison University. Mr. Mountcastle has been a CPA since 1992.</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Jeff Bernstein </w:t>
      </w:r>
      <w:r>
        <w:rPr>
          <w:rFonts w:ascii="Arial" w:cs="Arial" w:eastAsia="Arial" w:hAnsi="Arial"/>
          <w:sz w:val="17"/>
          <w:szCs w:val="17"/>
          <w:color w:val="auto"/>
        </w:rPr>
        <w:t>has been a managing director in the Asset Management Division of Goldman Sachs (GS AMD) since January 2020, having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held the positions of Vice President and Associate beginning in July 2010, focusing on private equity activities in the healthcare sector. Prior to joining GS AMD, Mr. Bernstein was in the Healthcare Group in Goldman Sachs’ Investment Banking Division from June 2008 to June 2010. Mr. Bernstein serves on the boards of Brighton Health Plan Solutions, Capital Vision Services (referred to publicly as MyEyeDr.) and Sapphire Digital, and is a board observer at Advanced Recovery Systems. He previously served on the boards of Golden State Medical Supply and Upstream Rehabilitation. Mr. Bernstein received an AB in Economics, </w:t>
      </w:r>
      <w:r>
        <w:rPr>
          <w:rFonts w:ascii="Arial" w:cs="Arial" w:eastAsia="Arial" w:hAnsi="Arial"/>
          <w:sz w:val="17"/>
          <w:szCs w:val="17"/>
          <w:i w:val="1"/>
          <w:iCs w:val="1"/>
          <w:color w:val="auto"/>
        </w:rPr>
        <w:t>magna cum laude</w:t>
      </w:r>
      <w:r>
        <w:rPr>
          <w:rFonts w:ascii="Arial" w:cs="Arial" w:eastAsia="Arial" w:hAnsi="Arial"/>
          <w:sz w:val="17"/>
          <w:szCs w:val="17"/>
          <w:color w:val="auto"/>
        </w:rPr>
        <w:t>, and a certificate in Finance from Princeton University. Mr. Bernstein is a valuable member of our board of directors because of his extensive investment experience in the healthcare industry.</w:t>
      </w:r>
    </w:p>
    <w:p>
      <w:pPr>
        <w:spacing w:after="0" w:line="11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color w:val="auto"/>
        </w:rPr>
        <w:t xml:space="preserve">Jeff Butler </w:t>
      </w:r>
      <w:r>
        <w:rPr>
          <w:rFonts w:ascii="Arial" w:cs="Arial" w:eastAsia="Arial" w:hAnsi="Arial"/>
          <w:sz w:val="16"/>
          <w:szCs w:val="16"/>
          <w:color w:val="auto"/>
        </w:rPr>
        <w:t>has an extensive background as an entrepreneur and senior executive in the healthcare and technology industries. Most recently, Mr. Butler</w:t>
      </w:r>
      <w:r>
        <w:rPr>
          <w:rFonts w:ascii="Arial" w:cs="Arial" w:eastAsia="Arial" w:hAnsi="Arial"/>
          <w:sz w:val="16"/>
          <w:szCs w:val="16"/>
          <w:b w:val="1"/>
          <w:bCs w:val="1"/>
          <w:color w:val="auto"/>
        </w:rPr>
        <w:t xml:space="preserve"> </w:t>
      </w:r>
      <w:r>
        <w:rPr>
          <w:rFonts w:ascii="Arial" w:cs="Arial" w:eastAsia="Arial" w:hAnsi="Arial"/>
          <w:sz w:val="16"/>
          <w:szCs w:val="16"/>
          <w:color w:val="auto"/>
        </w:rPr>
        <w:t>founded and led Privia Health as its Chief Executive Officer from November 2007 to May 2017. In 2017, Mr. Butler transitioned to a board of directors role where he continues to provide support to Privia’s leadership team. Before building Privia, Mr. Butler was a Co-Founder and the Chief Executive Officer of BroadReach Healthcare, a company focused on building large-scale health delivery networks in emerging markets from March 2003 to November 2007. Prior to BroadReach Healthcare, Mr. Butler helped launch the technology and consulting business at The Advisory Board Company in Washington D.C., from November 2000 to July 2003. Before his role at The Advisory Board Company, Mr. Butler served as Chief Operating Officer and Interim Chief Executive Officer of two hospitals affiliated with LifePoint Health, and served as a member of the founding team of LifePoint in its start-up and public spin-off from HCA (NYSE: HCA). Mr. Butler is a frequent speaker on innovations in the healthcare industry, and serves as an advisor and board member to a number of private companies, non-profits, and investment funds. Mr. Butler received a Bachelor of Science from Florida State University and a Masters in Health Administration from The Medical College of Virginia. Mr. Butler is a valuable member of our board of directors because of his extensive experience in the healthcare industry, prior track record as a senior executive and as the founder of our Company.</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 xml:space="preserve">David King </w:t>
      </w:r>
      <w:r>
        <w:rPr>
          <w:rFonts w:ascii="Arial" w:cs="Arial" w:eastAsia="Arial" w:hAnsi="Arial"/>
          <w:sz w:val="18"/>
          <w:szCs w:val="18"/>
          <w:color w:val="auto"/>
        </w:rPr>
        <w:t>has been an Operating Partner at Pritzker Private Capital since August 2020, co-leading the firm’s activities in the healthcare sector. Prior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joining Pritzker Private Capital, Mr. King was most recently the Chief Executive Officer of LabCorp (NYSE: LH) from 2007 to 2019. At LabCorp, Mr. King also served as the Executive Chairman of the Board from November 2019 to May 2020, and as the Non-Executive Chairman of the Board from May 2009 to October 2019. Mr. King is the board chair of PATH and was appointed in 2017 to the advisory board for Duke University’s Robert J. Margolis, MD, Center for Health Policy. Mr. King previously served on the board of Cardinal Health (NYSE: CAH), Elon University and the American Clinical Laboratory Association, where he served as board chair from 2010 to 2014. Mr. King is also on the board of The Emily K Center, a college-readiness center in Durham, North Carolina, founded by Mike Krzyzewski, the head coach of the Duke University Men’s Basketball team. Mr. King received a bachelor’s degree,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from Princeton University and a Juris Doctor, </w:t>
      </w:r>
      <w:r>
        <w:rPr>
          <w:rFonts w:ascii="Arial" w:cs="Arial" w:eastAsia="Arial" w:hAnsi="Arial"/>
          <w:sz w:val="18"/>
          <w:szCs w:val="18"/>
          <w:i w:val="1"/>
          <w:iCs w:val="1"/>
          <w:color w:val="auto"/>
        </w:rPr>
        <w:t>cum laude</w:t>
      </w:r>
      <w:r>
        <w:rPr>
          <w:rFonts w:ascii="Arial" w:cs="Arial" w:eastAsia="Arial" w:hAnsi="Arial"/>
          <w:sz w:val="18"/>
          <w:szCs w:val="18"/>
          <w:color w:val="auto"/>
        </w:rPr>
        <w:t>, from the University of Pennsylvania Law School. Mr. King is a valuable member of our board of directors because of his extensive experience in the healthcare industry and experience on other healthcare companies’ boards.</w:t>
      </w:r>
    </w:p>
    <w:p>
      <w:pPr>
        <w:spacing w:after="0" w:line="1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Thomas McCarthy </w:t>
      </w:r>
      <w:r>
        <w:rPr>
          <w:rFonts w:ascii="Arial" w:cs="Arial" w:eastAsia="Arial" w:hAnsi="Arial"/>
          <w:sz w:val="16"/>
          <w:szCs w:val="16"/>
          <w:color w:val="auto"/>
        </w:rPr>
        <w:t>has over 35 years of experience in healthcare, insurance and financial services businesses, including more than 30 years with</w:t>
      </w:r>
      <w:r>
        <w:rPr>
          <w:rFonts w:ascii="Arial" w:cs="Arial" w:eastAsia="Arial" w:hAnsi="Arial"/>
          <w:sz w:val="16"/>
          <w:szCs w:val="16"/>
          <w:b w:val="1"/>
          <w:bCs w:val="1"/>
          <w:color w:val="auto"/>
        </w:rPr>
        <w:t xml:space="preserve"> </w:t>
      </w:r>
      <w:r>
        <w:rPr>
          <w:rFonts w:ascii="Arial" w:cs="Arial" w:eastAsia="Arial" w:hAnsi="Arial"/>
          <w:sz w:val="16"/>
          <w:szCs w:val="16"/>
          <w:color w:val="auto"/>
        </w:rPr>
        <w:t>Cigna Corporation (NYSE:CI). Mr. McCarthy was most recently the Executive Vice President and Chief Financial Officer at Cigna from July 2013 to June 2017, and previously held the roles of Vice President of Finance, Vice President &amp; Treasurer, Vice President of Strategy and Corporate Development between March 2003 to July 2013. In addition to his career with Cigna, Mr. McCarthy also held senior leadership roles at Kemper Insurance from July</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1999 to February 2003 and USAA from 1985 to 1986. Mr. McCarthy is a member of the Board of Directors of Selective Insurance Group, Inc. (NASDAQ: SIGI), a New Jersey-based holding company for property and casualty insurance companies, and is a member of the audit and finance committees. He is also a member of the Board of Trustees of the American University of Rome and a Director of the Habitat for Humanity of Montgomery and Delaware Counties. Mr. McCarthy received a bachelor’s degree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Finance from the Wharton School of the University of Pennsylvania and an MBA from Carnegie Mellon University’s Tepper School of Business. Mr. McCarthy is a valuable member of our board of directors because of his extensive experience in the healthcare industry and his prior leadership positions at Cigna.</w:t>
      </w:r>
    </w:p>
    <w:p>
      <w:pPr>
        <w:spacing w:after="0" w:line="12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Will Sherrill </w:t>
      </w:r>
      <w:r>
        <w:rPr>
          <w:rFonts w:ascii="Arial" w:cs="Arial" w:eastAsia="Arial" w:hAnsi="Arial"/>
          <w:sz w:val="17"/>
          <w:szCs w:val="17"/>
          <w:color w:val="auto"/>
        </w:rPr>
        <w:t>has been a Vice President at Pamplona Capital Management since April 2019, focusing on investment opportunities in the healthcare and</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industrial services industries. Prior to joining Pamplona, Mr. Sherrill was an Associate and a Vice President at Kelso &amp; Company, between February 2015 to January 2019, focusing in healthcare services. Mr. Sherrill began his career as an Analyst at Credit Suisse in the Capital Markets and Financial Sponsors groups from July 2011 to January 2015. Mr. Sherrill currently serves on the boards of Brighton Health Group and CSC Serviceworks, Inc. Mr. Sherrill received a bachelor’s degree in Economics and History from the University of Virginia. Mr. Sherrill is a valuable member of our board of directors because of his extensive investment experience in the healthcare industry.</w:t>
      </w:r>
    </w:p>
    <w:p>
      <w:pPr>
        <w:spacing w:after="0" w:line="11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Bill Sullivan </w:t>
      </w:r>
      <w:r>
        <w:rPr>
          <w:rFonts w:ascii="Arial" w:cs="Arial" w:eastAsia="Arial" w:hAnsi="Arial"/>
          <w:sz w:val="17"/>
          <w:szCs w:val="17"/>
          <w:color w:val="auto"/>
        </w:rPr>
        <w:t>has been an investor and operator of disruptive healthcare service and technology businesses for over 30 years. He is founder/Chairman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of Brighton Health Group, which owns and operates Privia Health. Mr. Sullivan led the acquisition of Privia and subsequent national expansion of the business prior to the hiring of CEO, Shawn Morris, in April 2018. Mr. Sullivan is an investor and current board member of Sapphire Digital, GoHealth Urgent Care, MedArrive, Duos, HUB International and Anthropos Capital Corp. Prior to forming Brighton Health Group, Mr. Sullivan was a partner at global private equity firm Apax Partners (2007-2012). While at Apax, Mr. Sullivan led the $1.4B take private of TriZetto Group, the leading provider of technology solutions to payers. Prior to joining Apax, Mr. Sullivan was the CEO &amp; Chairman of MagnaCare Holdings (acq. Apax), a health plan management company. Mr. Sullivan joined the founding management team of Oxford Health Plans (acq. United Healthcare) from 1987 to 2000, his last four as President of the company. During Mr. Sullivan’s time at Oxford, the company grew to over $5bn in revenue. Mr. Sullivan received a BS in Finance and Banking from Suffolk University in Boston. Mr. Sullivan is a valuable member of our board of directors because of his extensive experience in the healthcare industry and prior track record as a senior executive.</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Patricia Maryland </w:t>
      </w:r>
      <w:r>
        <w:rPr>
          <w:rFonts w:ascii="Arial" w:cs="Arial" w:eastAsia="Arial" w:hAnsi="Arial"/>
          <w:sz w:val="16"/>
          <w:szCs w:val="16"/>
          <w:color w:val="auto"/>
        </w:rPr>
        <w:t>has over 40 years of experience in healthcare administration. Ms. Maryland was most recently the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Ascension and the President and Chief Executive Officer at Ascension Healthcare, a leading non-profit health system from July 2017 through June 2019. Prior to that, Ms. Maryland held various other executive and senior management positions in the Ascension organization from 2003 to 2017, including the roles of President of Healthcare Operations and Chief Operating Officer. Ms. Maryland received a Bachelor’s degree in Mathematics from Alabama State University and a Master’s degree in Biostatistics from the University of California, Berkeley. Ms. Maryland also holds a Doctorate of Public Health from the University of Pittsburgh, with a concentration in health services administration and planning. Ms. Maryland is a valuable member of our board of directors because of her extensive experience in the healthcare industry and her prior track record as a senior executive at a large health system.</w:t>
      </w:r>
    </w:p>
    <w:p>
      <w:pPr>
        <w:spacing w:after="0" w:line="10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color w:val="auto"/>
        </w:rPr>
        <w:t xml:space="preserve">Dr. Jaewon Ryu </w:t>
      </w:r>
      <w:r>
        <w:rPr>
          <w:rFonts w:ascii="Arial" w:cs="Arial" w:eastAsia="Arial" w:hAnsi="Arial"/>
          <w:sz w:val="16"/>
          <w:szCs w:val="16"/>
          <w:color w:val="auto"/>
        </w:rPr>
        <w:t>has been the President and Chief Executive Officer of Geisinger since June 2019, an integrated delivery system with a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 a health plan, the Geisinger Commonwealth School of Medicine, and research and innovation functions operating in central and northeastern Pennsylvania. He originally joined Geisinger in September 2016, as the Executive Vice President and Chief Medical Officer, overseeing all aspects of patient care at Geisinger, working to improve the quality, affordability and experience of care delivered across the enterprise. Dr. Ryu was previously President of integrated care delivery for Humana, responsible for Humana’s owned and joint ventured care delivery assets, including a management services organization (MSO) assisting affiliated practices to adopt a population health model under value-based reimbursement methodologies. Prior to Humana, Dr. Ryu held various leadership roles at the University of Illinois Hospital &amp; Health Sciences System, Kaiser Permanente, the Centers for Medicare and Medicaid Services, and as a White House Fellow at the Department of Veterans Affairs. He was also a practicing corporate healthcare attorney with the international firm McDermott, Will &amp; Emery. Dr. Ryu earned his B.A. from Yale University and his M.D. and J.D. from the University of Chicago. He completed his residency training in emergency medicine at Harbor-UCLA Medical Center. Dr. Ryu is a valuable member of our board of directors because of his extensive experience in value-based reimbursement, management services organizations, and high-quality patient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Compensation of Directors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consists of 9 members. Our board has determined that each of Jeff Bernstein, David King, Tom McCarthy, Patricia Maryland, Will Sherrill, Jaewon Ryu and Bill Sullivan are independent under applicable Nasdaq rules.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At any time when Goldman Sachs and Pamplona Capital Management (the “Lead Sponsors”) beneficially own, in the aggregate, less than 25% of our common stock then outstanding, our directors will be divided into three classes serving staggered three-year terms.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Directors who are also full-time officers or employees of our company will receive no additional compensation for serving as directors. All other directors will receive an annual retainer of $70,000. In addition, the chairman of the audit committee will receive an annual fee of $25,000, the chairman of the compensation committee will receive an annual fee of $15,000, the chairman of the nominating and corporate governance will receive an annual fee of $12,500 and the chairman of the compliance committee will receive an annual fee of $12,500. Each non-employee director also will receive an annual grant of restricted stock under our long-term incentive plan having a fair market value (as defined in the plan) of $175,000.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members of our audit committee are Will Sherrill, Tom McCarthy and Bill Sullivan. Tom McCarthy is the chairman of our audit committee. The composition of our audit committee meets the requirements for independence under the current Nasdaq listing standards and SEC rules and regulations. Each member of our audit committee is financially literate. In addition, our board of directors has determined that Tom McCarthy is an “audit committee financial expert” as defined in Item 407(d)(5)(ii) of Regulation S-K promulgated under the Securities Act of 1933, as amended (the “Securities Act”). This designation does not impose on such director any duties, obligations or liabilities that are greater than are generally imposed on members of our audit committee and our board of directors. Our audit committee is directly responsible for, among other things:</w:t>
      </w:r>
    </w:p>
    <w:p>
      <w:pPr>
        <w:spacing w:after="0" w:line="124"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members of our compensation committee are Jeff Bernstein, David King and Will Sherrill. Jeff Bernstein is the chairman of our compensation committee. Our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members of our nominating and corporate governance committee are Jeff Bernstein, David King and Will Sherrill. Jeff Bernstein is the chairman of our nominating and corporate governance committee. Our nominating and corporate governance committee is responsible for, among other things:</w:t>
      </w:r>
    </w:p>
    <w:p>
      <w:pPr>
        <w:spacing w:after="0" w:line="70"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members of our compliance committee are Patricia Maryland, Jeff Butler and Jaewon Ryu. Patricia Maryland is the chairwoman of our compliance committee. Our compliance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identifying, reviewing and analyzing laws and regulations applicable to the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recommending to the Board, and monitoring the implementation of, compliance programs, policies and procedures that comply with local, state and federal laws, regulations and guidelines;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significant compliance risk areas identified by management;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discussing periodically with management the adequacy and effectiveness of policies and procedures to assess, monitor, and manage non-financial compliance business risk and compliance programs;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monitoring compliance with, authorizing waivers of, investigating alleged breaches of and enforcing the Company’s non-financial compliance programs;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reviewing Company procedures for the receipt, retention and treatment of complaints received regarding non-financial compliance matters.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of directors has adopted a code of ethics that applies to all of our employees, officers and directors, including our Chief Executive Officer, Chief Financial Officer and other executive and senior financial officers.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full text of our codes of business conduct and ethics is posted on the investor relations section of our website. We intend to disclose future amendments to our codes of business conduct and ethics, or any waivers of such code, on our website or in public filings.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an emerging growth company as defined in the JOBS Act. As an emerging growth company, we have reduced disclosure obligations regarding executive compensation compared to companies that are not emerging growth companies. Under the JOBS Act, we will remain an emerging growth company for the first five fiscal years from our initial public offering, unless (a) we have total annual gross revenues of $1.07 billion or more, (b) we issue more than $1 billion in non-convertible debt over a three-year period, or (c) we are deemed to be a “large accelerated filer” under the Exchange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sets forth information concerning the compensation paid to our principal executive officer and our two other most highly compensated executive officers during our fiscal year ended December 31, 2020 (collectively referred to as our “named executive officers,” or “NEOs”).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Salary</w:t>
            </w: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6"/>
                <w:szCs w:val="16"/>
                <w:b w:val="1"/>
                <w:bCs w:val="1"/>
                <w:color w:val="auto"/>
                <w:vertAlign w:val="superscript"/>
              </w:rPr>
              <w:t>(1)</w:t>
            </w:r>
          </w:p>
        </w:tc>
        <w:tc>
          <w:tcPr>
            <w:tcW w:w="14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4"/>
              </w:rPr>
              <w:t>Non-Equity Incentive</w:t>
            </w:r>
          </w:p>
        </w:tc>
        <w:tc>
          <w:tcPr>
            <w:tcW w:w="120" w:type="dxa"/>
            <w:vAlign w:val="bottom"/>
          </w:tcPr>
          <w:p>
            <w:pPr>
              <w:spacing w:after="0"/>
              <w:rPr>
                <w:sz w:val="13"/>
                <w:szCs w:val="13"/>
                <w:color w:val="auto"/>
              </w:rPr>
            </w:pPr>
          </w:p>
        </w:tc>
        <w:tc>
          <w:tcPr>
            <w:tcW w:w="12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All Other</w:t>
            </w:r>
          </w:p>
        </w:tc>
        <w:tc>
          <w:tcPr>
            <w:tcW w:w="320" w:type="dxa"/>
            <w:vAlign w:val="bottom"/>
          </w:tcPr>
          <w:p>
            <w:pPr>
              <w:spacing w:after="0"/>
              <w:rPr>
                <w:sz w:val="13"/>
                <w:szCs w:val="13"/>
                <w:color w:val="auto"/>
              </w:rPr>
            </w:pPr>
          </w:p>
        </w:tc>
        <w:tc>
          <w:tcPr>
            <w:tcW w:w="1040" w:type="dxa"/>
            <w:vAlign w:val="bottom"/>
            <w:vMerge w:val="restart"/>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8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vMerge w:val="restart"/>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Year</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40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w w:val="95"/>
              </w:rPr>
              <w:t>Plan Compensation ($)</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1"/>
              <w:spacing w:after="0" w:line="135"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77"/>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42"/>
              <w:spacing w:after="0"/>
              <w:rPr>
                <w:sz w:val="20"/>
                <w:szCs w:val="20"/>
                <w:color w:val="auto"/>
              </w:rPr>
            </w:pPr>
            <w:r>
              <w:rPr>
                <w:rFonts w:ascii="Arial" w:cs="Arial" w:eastAsia="Arial" w:hAnsi="Arial"/>
                <w:sz w:val="8"/>
                <w:szCs w:val="8"/>
                <w:b w:val="1"/>
                <w:bCs w:val="1"/>
                <w:color w:val="auto"/>
              </w:rPr>
              <w:t>(2)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b w:val="1"/>
                <w:bCs w:val="1"/>
                <w:color w:val="auto"/>
                <w:w w:val="91"/>
              </w:rPr>
              <w:t>Compensation ($)</w:t>
            </w:r>
            <w:r>
              <w:rPr>
                <w:rFonts w:ascii="Arial" w:cs="Arial" w:eastAsia="Arial" w:hAnsi="Arial"/>
                <w:sz w:val="15"/>
                <w:szCs w:val="15"/>
                <w:b w:val="1"/>
                <w:bCs w:val="1"/>
                <w:color w:val="auto"/>
                <w:w w:val="91"/>
                <w:vertAlign w:val="superscript"/>
              </w:rPr>
              <w:t>(3)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Shawn Morris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921,252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12,512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1,433,764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Parth Mehrotra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412,000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885,512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12,512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1,355,184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i w:val="1"/>
                <w:iCs w:val="1"/>
                <w:color w:val="auto"/>
              </w:rPr>
              <w:t>President and Chief Operating Officer</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Bartrum</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295,000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12,512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615,179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Vice President and General Counsel</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60" w:lineRule="auto"/>
        <w:tabs>
          <w:tab w:leader="none" w:pos="332"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options granted to our NEOs during 2020, as calculated in accordance with FASB ASC Topic 718. The assumption used in calculating the grant date fair value of the option awards are described in Note 9 to our consolidated financial statements included elsewhere in this prospectus.</w:t>
      </w: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annual bonuses earned by our NEOs in respect of 2020 (paid in March 2021), as discussed below under “2020 Annual Performance Bonuses.”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amounts in this column represent the Company’s contributions to the Company’s 401(k) plan on behalf of each of the NEOs.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elements of compensation for our NEOs are base salary, annual performance bonuses and equity-based compensation awards. The NEOs also participate in employee benefit plans and programs that we offer to our other full-time employees on the same basis.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Annual Performance Bonuses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2020. Each named executive officer’s target bonus is expressed as a percentage of base salary, and 50% of bonus payouts are calculated based on corporate scorecard achievement, and 50% on individual scorecard achievement. Payment of the annual performance-based bonus is subject to the NEO’s continued employment with us on the date such bonuses are paid.</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compensation committee, based upon the recommendation of our CEO, establishes company performance goals each year and, at the completion of the year, determines actual bonus payouts after assessing company and individual performance against these goals.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2020 annual bonuses were targeted at the following percentages of each named executive officer’s annual base salary: Mr. Morris: 100%;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Mehrotra: 100%; and Mr. Bartrum: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employment agreements with our NEOs, the terms of which are summarized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 with Shawn Morris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13, 2018, we entered into an employment agreement with Shawn Morris, our Chief Executive Officer (the “Morris Agreement”). The Morris Agreement provides for a three-year term, with automatic annual renewals unless either party provides at least 90 days’ notice of non-renewal, and may be terminated at any time by us, or by Mr. Morris upon 30 days’ notice. The Morris Agreement provides for a base salary of $600,000 and an annual performance bonus target of 100% of base salary. Mr. Morris is also eligible to participate in our benefit plans as offered to our similarly situated executives. In addition, Mr. Morris is eligible to receive equity grants under the 2018 Second Amended and Restated PH Group Parent Corp. Stock Option Plan (the “2018 Plan”), which was adopted by our board of directors and approved by our stockholders in 2018 (and described in further detail below under —</w:t>
      </w:r>
      <w:r>
        <w:rPr>
          <w:rFonts w:ascii="Arial" w:cs="Arial" w:eastAsia="Arial" w:hAnsi="Arial"/>
          <w:sz w:val="17"/>
          <w:szCs w:val="17"/>
          <w:i w:val="1"/>
          <w:iCs w:val="1"/>
          <w:color w:val="auto"/>
        </w:rPr>
        <w:t>2018 Second Amended &amp; Restated PH Group Parent Corp. Stock Option Plan</w:t>
      </w:r>
      <w:r>
        <w:rPr>
          <w:rFonts w:ascii="Arial" w:cs="Arial" w:eastAsia="Arial" w:hAnsi="Arial"/>
          <w:sz w:val="17"/>
          <w:szCs w:val="17"/>
          <w:color w:val="auto"/>
        </w:rPr>
        <w:t>).</w:t>
      </w:r>
    </w:p>
    <w:p>
      <w:pPr>
        <w:spacing w:after="0" w:line="1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event of a termination of Mr. Morris’s employment by us without “cause,” due to our non-renewal of the Morris Agreement if Mr. Morris terminates his employment upon the expiration of the initial term or any successive term or by Mr. Morris for “good reason” (each as defined in the Morris Agreement), subject to his execution and non-revocation of a release of claims within 60 days of the date of such termination, Mr. Morris will be eligible to receive, (a) in equal installments over a period of 18 months, 150% of the sum of (i) Mr. Morris’s base salary at the rate in effect on the date of termination and (ii) the average of the annual bonuses paid or payable for the two calendar years immediately preceding the date of termination, (b) continuation of COBRA premiums that exceed what Mr. Morris’s payments would have been for such coverage as an employee for a period of 18 months from the date of termination and (c) an additional 25% of Mr. Morris’s outstanding unvested time-based option will become vested as of the date of termination.</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Morris Agreement, if a change in control occurs within 12 months after the date of termination, Mr. Morris’s outstanding time-based option will become 100% vested on the date of the change in control. In addition, 100% of performance-based option and option granted under the Morris Agreement will remain outstanding until a liquidity event.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Morris Agreement, Mr. Morris has agreed not to compete with us during the term of his employment and for the 18-month period following termination of his employment. In addition, Mr. Morris has agreed not to solicit any of our clients, employees or consultants during that 18-month restricted period.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 with Parth Mehrotra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2018, we entered into an employment agreement with Parth Mehrotra, our President and Chief Operating Officer (the “Mehrotra Agreement”). Either party may terminate the agreement at any time upon 30 days’ written notice, or immediately in the event of a termination for cause by the company or for a resignation with good reason. The Mehrotra Agreement provides for an annual base salary of $475,000, annual performance bonus target of 100% of annual base salary. Mr. Mehrotra is also eligible to participate in our benefit plans as offered to our similarly situated executives and receive equity grants under the 2018 Plan during the employment term.</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that we terminate the Mehrotra Agreement without “cause”, or Mr. Mehrotra resigns for “good reason” (each as defined in the Mehrotra Agreement), subject to his execution and non-revocation of a release of claims within the 60 day period following the date of such termination of his employment, he will be eligible to receive (a) for a period of 15 months, a monthly severance amount equal to 1/12 of the sum of (i) his annual base salary and (ii) annual performance bonus at target for the year of termination, and (b) continued health benefits for 12 months.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Mehrotra Agreement, Mr. Mehrotra has agreed not to compete with us during the term of his employment and for (i) the 24-month period following termination of his employment if such termination is by us for cause or by Mr. Mehrotra without good reason and (ii) the 12-month period following termination of his employment if such termination is by us without cause or by Mr. Mehrotra with good reason. In addition,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Mehrotra has agreed not to solicit any of our clients, employees or consultants during the 24-month restricted period following the termination of his employment for any reason.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 with Thomas Bartrum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2019, we entered into an employment agreement with Thomas Bartrum, our Executive Vice President and General Counsel (the “Bartrum Agreement”). Either party may terminate the agreement at any time upon 30 days’ written notice, or immediately in the event of a termination for cause by the company or for a resignation with good reason. The Bartrum Agreement provides for an annual base salary of $300,000, annual performance bonus target of 50% of annual base salary. Mr. Bartrum is also eligible to participate in our benefit plans as offered to our similarly situated executives and receive equity grants under the 2018 Plan during the employment term.</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we terminate the Bartrum Agreement without “cause”, or Mr. Bartrum resigns for “good reason” (each as defined in the Bartrum Agreement), subject to his execution and non-revocation of a release of claims within the 60 day period following the date of such termination of his employment, he will be eligible to receive for a six month severance period (a) a monthly severance amount equal to his monthly base salary and (b) continued health benefits, with such severance period to be extended for up to six additional one-month periods until Mr. Bartrum obtains full-time, equivalent employment.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Bartrum Agreement, Mr. Bartrum has agreed not to compete with us during the term of his employment and for the 12-month period following termination of his employment. In addition, Mr. Bartrum has agreed not to solicit any of our clients, employees or consultants during the 24-month restricted period following the termination of his employment for any reason.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a 401(k) plan for our employees (including our named executive officers), and other members of our Affiliated Service Group, who satisfy certain eligibility requirements. Our named executive officers are eligible to participate in the 401(k) plan on the same terms as other full-time employees.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a broad array of customary health and welfare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Option Awards</w:t>
            </w: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Equity</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Incentive</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Numbers of Securities</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Numbers of Securities</w:t>
            </w:r>
          </w:p>
        </w:tc>
        <w:tc>
          <w:tcPr>
            <w:tcW w:w="16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Plan Awards: Number of</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Securities Underlying</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1"/>
              </w:rPr>
              <w:t>Option Expiration</w:t>
            </w:r>
          </w:p>
        </w:tc>
        <w:tc>
          <w:tcPr>
            <w:tcW w:w="140" w:type="dxa"/>
            <w:vAlign w:val="bottom"/>
          </w:tcPr>
          <w:p>
            <w:pPr>
              <w:spacing w:after="0"/>
              <w:rPr>
                <w:sz w:val="10"/>
                <w:szCs w:val="10"/>
                <w:color w:val="auto"/>
              </w:rPr>
            </w:pPr>
          </w:p>
        </w:tc>
        <w:tc>
          <w:tcPr>
            <w:tcW w:w="1060" w:type="dxa"/>
            <w:vAlign w:val="bottom"/>
            <w:vMerge w:val="restart"/>
          </w:tcPr>
          <w:p>
            <w:pPr>
              <w:jc w:val="right"/>
              <w:ind w:right="74"/>
              <w:spacing w:after="0"/>
              <w:rPr>
                <w:sz w:val="20"/>
                <w:szCs w:val="20"/>
                <w:color w:val="auto"/>
              </w:rPr>
            </w:pPr>
            <w:r>
              <w:rPr>
                <w:rFonts w:ascii="Arial" w:cs="Arial" w:eastAsia="Arial" w:hAnsi="Arial"/>
                <w:sz w:val="13"/>
                <w:szCs w:val="13"/>
                <w:b w:val="1"/>
                <w:bCs w:val="1"/>
                <w:color w:val="auto"/>
                <w:w w:val="88"/>
              </w:rPr>
              <w:t>Option Exercise</w:t>
            </w:r>
          </w:p>
        </w:tc>
        <w:tc>
          <w:tcPr>
            <w:tcW w:w="0" w:type="dxa"/>
            <w:vAlign w:val="bottom"/>
          </w:tcPr>
          <w:p>
            <w:pPr>
              <w:spacing w:after="0"/>
              <w:rPr>
                <w:sz w:val="1"/>
                <w:szCs w:val="1"/>
                <w:color w:val="auto"/>
              </w:rPr>
            </w:pPr>
          </w:p>
        </w:tc>
      </w:tr>
      <w:tr>
        <w:trPr>
          <w:trHeight w:val="122"/>
        </w:trPr>
        <w:tc>
          <w:tcPr>
            <w:tcW w:w="2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0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0"/>
                <w:szCs w:val="10"/>
                <w:color w:val="auto"/>
              </w:rPr>
            </w:pPr>
          </w:p>
        </w:tc>
        <w:tc>
          <w:tcPr>
            <w:tcW w:w="16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Underlying Unexercised</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Underlying Unexercised</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Unexercised Unearned</w:t>
            </w:r>
          </w:p>
        </w:tc>
        <w:tc>
          <w:tcPr>
            <w:tcW w:w="13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Options (#) Exercisable</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Options (#) Unexercisable</w:t>
            </w:r>
          </w:p>
        </w:tc>
        <w:tc>
          <w:tcPr>
            <w:tcW w:w="1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Options (#)</w:t>
            </w: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3"/>
                <w:szCs w:val="13"/>
                <w:b w:val="1"/>
                <w:bCs w:val="1"/>
                <w:color w:val="auto"/>
              </w:rPr>
              <w:t>Price ($)</w:t>
            </w:r>
          </w:p>
        </w:tc>
        <w:tc>
          <w:tcPr>
            <w:tcW w:w="0" w:type="dxa"/>
            <w:vAlign w:val="bottom"/>
          </w:tcPr>
          <w:p>
            <w:pPr>
              <w:spacing w:after="0"/>
              <w:rPr>
                <w:sz w:val="1"/>
                <w:szCs w:val="1"/>
                <w:color w:val="auto"/>
              </w:rPr>
            </w:pPr>
          </w:p>
        </w:tc>
      </w:tr>
      <w:tr>
        <w:trPr>
          <w:trHeight w:val="22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Shawn Morris</w:t>
            </w:r>
          </w:p>
        </w:tc>
        <w:tc>
          <w:tcPr>
            <w:tcW w:w="1200" w:type="dxa"/>
            <w:vAlign w:val="bottom"/>
            <w:tcBorders>
              <w:top w:val="single" w:sz="8" w:color="auto"/>
            </w:tcBorders>
            <w:shd w:val="clear" w:color="auto" w:fill="CCEEFF"/>
          </w:tcPr>
          <w:p>
            <w:pPr>
              <w:jc w:val="center"/>
              <w:spacing w:after="0" w:line="229" w:lineRule="exact"/>
              <w:rPr>
                <w:sz w:val="20"/>
                <w:szCs w:val="20"/>
                <w:color w:val="auto"/>
              </w:rPr>
            </w:pPr>
            <w:r>
              <w:rPr>
                <w:rFonts w:ascii="Arial" w:cs="Arial" w:eastAsia="Arial" w:hAnsi="Arial"/>
                <w:sz w:val="18"/>
                <w:szCs w:val="18"/>
                <w:color w:val="auto"/>
                <w:w w:val="86"/>
              </w:rPr>
              <w:t>8/28/18</w:t>
            </w:r>
            <w:r>
              <w:rPr>
                <w:rFonts w:ascii="Arial" w:cs="Arial" w:eastAsia="Arial" w:hAnsi="Arial"/>
                <w:sz w:val="23"/>
                <w:szCs w:val="23"/>
                <w:color w:val="auto"/>
                <w:w w:val="86"/>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729,832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729,832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2,919,329</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8/27/33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8/28/18</w:t>
            </w:r>
            <w:r>
              <w:rPr>
                <w:rFonts w:ascii="Arial" w:cs="Arial" w:eastAsia="Arial" w:hAnsi="Arial"/>
                <w:sz w:val="23"/>
                <w:szCs w:val="23"/>
                <w:color w:val="auto"/>
                <w:w w:val="86"/>
                <w:vertAlign w:val="superscript"/>
              </w:rPr>
              <w:t>(2)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1,531,117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Parth Mehrotra</w:t>
            </w:r>
          </w:p>
        </w:tc>
        <w:tc>
          <w:tcPr>
            <w:tcW w:w="1200" w:type="dxa"/>
            <w:vAlign w:val="bottom"/>
          </w:tcPr>
          <w:p>
            <w:pPr>
              <w:jc w:val="center"/>
              <w:spacing w:after="0" w:line="223" w:lineRule="exact"/>
              <w:rPr>
                <w:sz w:val="20"/>
                <w:szCs w:val="20"/>
                <w:color w:val="auto"/>
              </w:rPr>
            </w:pPr>
            <w:r>
              <w:rPr>
                <w:rFonts w:ascii="Arial" w:cs="Arial" w:eastAsia="Arial" w:hAnsi="Arial"/>
                <w:sz w:val="18"/>
                <w:szCs w:val="18"/>
                <w:color w:val="auto"/>
                <w:w w:val="86"/>
              </w:rPr>
              <w:t>8/28/18</w:t>
            </w:r>
            <w:r>
              <w:rPr>
                <w:rFonts w:ascii="Arial" w:cs="Arial" w:eastAsia="Arial" w:hAnsi="Arial"/>
                <w:sz w:val="23"/>
                <w:szCs w:val="23"/>
                <w:color w:val="auto"/>
                <w:w w:val="86"/>
                <w:vertAlign w:val="superscript"/>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530,787</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1,061,574</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8/27/33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00" w:type="dxa"/>
            <w:vAlign w:val="bottom"/>
          </w:tcPr>
          <w:p>
            <w:pPr>
              <w:jc w:val="center"/>
              <w:spacing w:after="0" w:line="230" w:lineRule="exact"/>
              <w:rPr>
                <w:sz w:val="20"/>
                <w:szCs w:val="20"/>
                <w:color w:val="auto"/>
              </w:rPr>
            </w:pPr>
            <w:r>
              <w:rPr>
                <w:rFonts w:ascii="Arial" w:cs="Arial" w:eastAsia="Arial" w:hAnsi="Arial"/>
                <w:sz w:val="18"/>
                <w:szCs w:val="18"/>
                <w:color w:val="auto"/>
                <w:w w:val="86"/>
              </w:rPr>
              <w:t>8/28/18</w:t>
            </w:r>
            <w:r>
              <w:rPr>
                <w:rFonts w:ascii="Arial" w:cs="Arial" w:eastAsia="Arial" w:hAnsi="Arial"/>
                <w:sz w:val="23"/>
                <w:szCs w:val="23"/>
                <w:color w:val="auto"/>
                <w:w w:val="86"/>
                <w:vertAlign w:val="superscript"/>
              </w:rPr>
              <w:t>(2)</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306,223</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8/27/33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200" w:type="dxa"/>
            <w:vAlign w:val="bottom"/>
          </w:tcPr>
          <w:p>
            <w:pPr>
              <w:jc w:val="center"/>
              <w:spacing w:after="0" w:line="230" w:lineRule="exact"/>
              <w:rPr>
                <w:sz w:val="20"/>
                <w:szCs w:val="20"/>
                <w:color w:val="auto"/>
              </w:rPr>
            </w:pPr>
            <w:r>
              <w:rPr>
                <w:rFonts w:ascii="Arial" w:cs="Arial" w:eastAsia="Arial" w:hAnsi="Arial"/>
                <w:sz w:val="18"/>
                <w:szCs w:val="18"/>
                <w:color w:val="auto"/>
                <w:w w:val="86"/>
              </w:rPr>
              <w:t>12/4/19</w:t>
            </w:r>
            <w:r>
              <w:rPr>
                <w:rFonts w:ascii="Arial" w:cs="Arial" w:eastAsia="Arial" w:hAnsi="Arial"/>
                <w:sz w:val="23"/>
                <w:szCs w:val="23"/>
                <w:color w:val="auto"/>
                <w:w w:val="86"/>
                <w:vertAlign w:val="superscript"/>
              </w:rPr>
              <w:t>(1)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46,444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139,331</w:t>
            </w:r>
          </w:p>
        </w:tc>
        <w:tc>
          <w:tcPr>
            <w:tcW w:w="10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371,551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12/3/34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00" w:type="dxa"/>
            <w:vAlign w:val="bottom"/>
          </w:tcPr>
          <w:p>
            <w:pPr>
              <w:jc w:val="center"/>
              <w:spacing w:after="0" w:line="230" w:lineRule="exact"/>
              <w:rPr>
                <w:sz w:val="20"/>
                <w:szCs w:val="20"/>
                <w:color w:val="auto"/>
              </w:rPr>
            </w:pPr>
            <w:r>
              <w:rPr>
                <w:rFonts w:ascii="Arial" w:cs="Arial" w:eastAsia="Arial" w:hAnsi="Arial"/>
                <w:sz w:val="18"/>
                <w:szCs w:val="18"/>
                <w:color w:val="auto"/>
                <w:w w:val="86"/>
              </w:rPr>
              <w:t>12/4/19</w:t>
            </w:r>
            <w:r>
              <w:rPr>
                <w:rFonts w:ascii="Arial" w:cs="Arial" w:eastAsia="Arial" w:hAnsi="Arial"/>
                <w:sz w:val="23"/>
                <w:szCs w:val="23"/>
                <w:color w:val="auto"/>
                <w:w w:val="86"/>
                <w:vertAlign w:val="superscript"/>
              </w:rPr>
              <w:t>(2)</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193,777</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12/3/34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p>
        </w:tc>
        <w:tc>
          <w:tcPr>
            <w:tcW w:w="1200" w:type="dxa"/>
            <w:vAlign w:val="bottom"/>
          </w:tcPr>
          <w:p>
            <w:pPr>
              <w:jc w:val="center"/>
              <w:spacing w:after="0" w:line="235" w:lineRule="exact"/>
              <w:rPr>
                <w:sz w:val="20"/>
                <w:szCs w:val="20"/>
                <w:color w:val="auto"/>
              </w:rPr>
            </w:pPr>
            <w:r>
              <w:rPr>
                <w:rFonts w:ascii="Arial" w:cs="Arial" w:eastAsia="Arial" w:hAnsi="Arial"/>
                <w:sz w:val="18"/>
                <w:szCs w:val="18"/>
                <w:color w:val="auto"/>
                <w:w w:val="87"/>
              </w:rPr>
              <w:t>9/8/20</w:t>
            </w:r>
            <w:r>
              <w:rPr>
                <w:rFonts w:ascii="Arial" w:cs="Arial" w:eastAsia="Arial" w:hAnsi="Arial"/>
                <w:sz w:val="23"/>
                <w:szCs w:val="23"/>
                <w:color w:val="auto"/>
                <w:w w:val="87"/>
                <w:vertAlign w:val="superscript"/>
              </w:rPr>
              <w:t>(2)</w:t>
            </w:r>
          </w:p>
        </w:tc>
        <w:tc>
          <w:tcPr>
            <w:tcW w:w="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173,694</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9/7/35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Bartrum</w:t>
            </w: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8/28/18</w:t>
            </w:r>
            <w:r>
              <w:rPr>
                <w:rFonts w:ascii="Arial" w:cs="Arial" w:eastAsia="Arial" w:hAnsi="Arial"/>
                <w:sz w:val="23"/>
                <w:szCs w:val="23"/>
                <w:color w:val="auto"/>
                <w:w w:val="86"/>
                <w:vertAlign w:val="superscript"/>
              </w:rPr>
              <w:t>(4)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132,697</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265,393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8/28/18(2)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55,120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12/4/19</w:t>
            </w:r>
            <w:r>
              <w:rPr>
                <w:rFonts w:ascii="Arial" w:cs="Arial" w:eastAsia="Arial" w:hAnsi="Arial"/>
                <w:sz w:val="23"/>
                <w:szCs w:val="23"/>
                <w:color w:val="auto"/>
                <w:w w:val="86"/>
                <w:vertAlign w:val="superscript"/>
              </w:rPr>
              <w:t>(2)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21,436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7"/>
              </w:rPr>
              <w:t>9/8/20</w:t>
            </w:r>
            <w:r>
              <w:rPr>
                <w:rFonts w:ascii="Arial" w:cs="Arial" w:eastAsia="Arial" w:hAnsi="Arial"/>
                <w:sz w:val="23"/>
                <w:szCs w:val="23"/>
                <w:color w:val="auto"/>
                <w:w w:val="87"/>
                <w:vertAlign w:val="superscript"/>
              </w:rPr>
              <w:t>(1)</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16,667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Reflects a grant of both time-based and performance-based nonqualified stock option (“NQSO”), each of which had an exercise price of $2.00, and which time-vest in equal annual installment on the first, second, third and fourth anniversary of the grant date. Full vesting of the performance-based portion of the award is subject to attainment of certain performance goals in connection with a liquidity event.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Reflects a grant of performance-based NQSOs that vest in full upon the attainment of certain performance goals in connection with a liquidity event.</w:t>
      </w:r>
    </w:p>
    <w:p>
      <w:pPr>
        <w:spacing w:after="0" w:line="1" w:lineRule="exact"/>
        <w:rPr>
          <w:rFonts w:ascii="Arial" w:cs="Arial" w:eastAsia="Arial" w:hAnsi="Arial"/>
          <w:sz w:val="14"/>
          <w:szCs w:val="14"/>
          <w:color w:val="auto"/>
        </w:rPr>
      </w:pPr>
    </w:p>
    <w:p>
      <w:pPr>
        <w:ind w:left="340" w:right="20" w:hanging="332"/>
        <w:spacing w:after="0" w:line="260" w:lineRule="auto"/>
        <w:tabs>
          <w:tab w:leader="none" w:pos="3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Reflects a grant of both time-based and performance-based NQSO, each of which had an exercise price of $2.00, and which time-vested 50% on the grant date and 25% on each of the first and second anniversary of grant date. Full vesting of the performance-based portion of the award is subject to attainment of certain performance goals in connection with a liquidity event.</w:t>
      </w:r>
    </w:p>
    <w:p>
      <w:pPr>
        <w:ind w:left="340" w:hanging="332"/>
        <w:spacing w:after="0" w:line="293" w:lineRule="auto"/>
        <w:tabs>
          <w:tab w:leader="none" w:pos="3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Reflects a grant of both time-based and performance-based NQSOs, each of which had an exercise price of $2.00, and which time-vested 75% on the grant date and 25% on the first anniversary of the grant date. Full vesting of the performance-based portion of the award is subject to attainment of certain performance goals in connection with a liquidity event.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Second Amended &amp; Restated PH Group Parent Corp. Stock Option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2018 Plan was first adopted by our board of directors on May 2, 2018, most recently approved by our board of directors on August 28, 2018 and approved by our stockholders on May 2, 2018. The purpose of the 2018 Plan is to attract, retain, incentivize and motivate officers and employees of, consultants to, and non-employee directors providing services to, our company and our subsidiaries and to promote the success of our business by providing such participating individuals with a proprietary interest in our performance. To achieve this purpose, two types of options have been issued under the 2018 Plan: “base pool options” and “super tranche pool options.” Base pool options have both time-based and performance-based vesting provisions, and super tranche pool options are subject to the same performance metric applicable to an individual’s performance-based base pool options, but require an attainment of a higher level of performance in order to vest.</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There are 18,985,846 shares reserved for issuance under the 2018 Plan. Of the shares reserved for issuance, up to 15,923,611 may</w:t>
      </w:r>
      <w:r>
        <w:rPr>
          <w:rFonts w:ascii="Arial" w:cs="Arial" w:eastAsia="Arial" w:hAnsi="Arial"/>
          <w:sz w:val="18"/>
          <w:szCs w:val="18"/>
          <w:i w:val="1"/>
          <w:iCs w:val="1"/>
          <w:color w:val="auto"/>
        </w:rPr>
        <w:t xml:space="preserve"> </w:t>
      </w:r>
      <w:r>
        <w:rPr>
          <w:rFonts w:ascii="Arial" w:cs="Arial" w:eastAsia="Arial" w:hAnsi="Arial"/>
          <w:sz w:val="18"/>
          <w:szCs w:val="18"/>
          <w:color w:val="auto"/>
        </w:rPr>
        <w:t>be issued in respect of base pool options, and up to 3,062,235 may be issued in respect of super tranche pool options.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directors, consultants of the company, and any licensed physicians who are (i) providing services on behalf of us or an 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 written agreement, (ii) have an ownership interest in one of our affiliates that performs professional services on its own behalf or (iii) have a professional practice that is managed by the company or one of our affiliates, are eligible to receive stock option awards under the 2018 plan.</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compensation committee of our board of directors (the “Committee”) may administer our 2018 Plan. The Committee has,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the authority to (i) interpret our 2018 Plan, (ii)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amend and rescind rules and regulations relating to our 2018 Plan, (iii) correct any defect, supply any omission, or reconcile any inconsistency in any award agreement in the manner and to the extent it deems desirable to carry our 2018 Plan into effect and (iv) make all other determinations necessary or advisable for the administration of the 2018 Plan.</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In the event of (i) a merger or other transaction, (ii) certain changes in our capitalization or (iii) any other event that results in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Committee) dilution or enlargement of the benefits intended to be granted to or available for participants under our 2018 Plan, then the Committee will make equitable adjustments to the number and type of shares of our common stock subject to our 2018 Plan, the number and type of shares of our common stock subject to outstanding awards, the grant, purchase or exercise price with respect to any award and the performance goals established under any award. Additionally, in connection with any merger, consolidation, acquisition of property or stock or reorganization, the Committee may authorize the issuance or assumption of awards upon such terms and conditions as the Committee may deem appropriate.</w:t>
      </w:r>
    </w:p>
    <w:p>
      <w:pPr>
        <w:spacing w:after="0" w:line="11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Corporate Transaction; Liquidity Event. </w:t>
      </w:r>
      <w:r>
        <w:rPr>
          <w:rFonts w:ascii="Arial" w:cs="Arial" w:eastAsia="Arial" w:hAnsi="Arial"/>
          <w:sz w:val="16"/>
          <w:szCs w:val="16"/>
          <w:color w:val="auto"/>
        </w:rPr>
        <w:t>If there is a corporate transaction or liquidity event, each, as defined under our 2018 Plan, all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will terminate upon the consummation of such corporate transaction or liquidity event, as applicable. The Committee may generally provide for the following: (i) if the successor or surviving corporation (or parent thereof) so agrees, all outstanding awards will be assumed, or replaced with the same type of award with similar terms and conditions, by the successor or surviving corporation (or parent thereof) in the corporate transaction or liquidity event, as applicable, or (ii) if the provisions of subsection (i) do not apply, then either each optionholder holding vested and exercisable options will be given at least 15 days advance notice to exercise their outstanding vested and exercisable options prior to the change in control or liquidity event (as applicable) or all outstanding awards vested will be canceled in exchange for a payment in cash and/or shares of our common stock. The Committee may also provide that either (i) outstanding unvested options will become immediately vested and exercisable and provide a reasonable time period prior to such corporate transaction or liquidity event to exercise such options or (ii) outstanding unvested options will convert into a right to a payment (in cash or other consideration) in an amount equal to the portion of the excess, if any, of the transaction price over the exercise price of the options.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Committee may amend our 2018 Plan at any time, but no amendment will adversely affect a participant’s rights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awards without his or her written consent. As of December 31, 2020, options to purchase 18,300,959 shares of our common stock were outstanding under the 2018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Omnibus Incentive Plan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Privia Health adopted the Privia Health Group, Inc. 2021 Omnibus Incentive Plan (the “Incentive Plan”) in connection with the closing of our initial public offering. The purpose of the Incentive Plan is to motivate and reward our employees, directors, consultants and advisors to perform at the highest level and to further our best interests and those of our shareholders.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Shares Available. </w:t>
      </w:r>
      <w:r>
        <w:rPr>
          <w:rFonts w:ascii="Arial" w:cs="Arial" w:eastAsia="Arial" w:hAnsi="Arial"/>
          <w:sz w:val="17"/>
          <w:szCs w:val="17"/>
          <w:color w:val="auto"/>
        </w:rPr>
        <w:t>Subject to adjustment, the Incentive Plan permits us to make awards of up to 10% of our common stock issued and outstanding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of this offering. Additionally, the number of shares of our common stock reserved for issuance under the Incentive Plan may increase automatically on the first day of each fiscal year following the effective date of the Incentive Plan by an amount equal to the lesser of (i) 5% of outstanding shares on December 31 of the immediately preceding fiscal year or (ii) such number of shares as determined by our board of directors in its discretion. If any award issued under the Incentive Plan is cancelled, forfeited, or otherwise terminates or expires unexercised, such shares may again be issued under the Incentive Plan. In the event that an adjustment is necessary in order to prevent dilution or enlargement of the benefits or potential benefits intended to be made available under the Incentive Plan, as a result of any dividend (other than ordinary cash 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our Compensation Committee shall,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Sections 409A and 457A of the Code, adjust equitably any or all of (i) the number and type of shares (or other securities) which thereafter may be made the subject of awards, (ii) the number and type of shares (or other securities) subject to outstanding awards, (iii) the grant, acquisition or exercise price of awards or, if deemed appropriate, make provision for a cash payment to the holder of an outstanding award or (iv) the terms and conditions of any outstanding awards, including the performance criteria of any performance awards.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Compensation Committee administers the Incentive Plan and determines the following items:</w:t>
      </w:r>
    </w:p>
    <w:p>
      <w:pPr>
        <w:spacing w:after="0" w:line="17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select the participants to whom awards may be granted;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under the Incentive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 the terms and conditions of any award and prescribe the form of award agreement;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amounts payable with respect to an award shall be deferred;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 or modify outstanding awards or award agreements;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Incentive Plan or any award, in the manner and to the extent it will deem desirable to carry the Incentive Plan into effect;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interpret and administer the terms of the Incentive Plan, any award agreement and any agreement related to any award;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it deems necessary or desirable to administer the Incentive Plan.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the extent not inconsistent with applicable law, our Compensation Committee may delegate to one or more of our officers some or all of the authority under the Incentive Plan, including the authority to grant all types of awards authorized under the Incentive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Generally, all Employees, Consultants, other service providers or non-employee Directors are eligible to receive awards.</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Forms of Awards</w:t>
      </w:r>
      <w:r>
        <w:rPr>
          <w:rFonts w:ascii="Arial" w:cs="Arial" w:eastAsia="Arial" w:hAnsi="Arial"/>
          <w:sz w:val="17"/>
          <w:szCs w:val="17"/>
          <w:color w:val="auto"/>
        </w:rPr>
        <w:t>. Awards under the Incentive Plan may include one or more of the following types: (i) stock options, (ii) share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(“SAR”), (iii) restricted stock awards, (iv) RSU awards, (v) performance awards, (vi) other cash-based awards and (vii) other stock-based awards.</w:t>
      </w:r>
    </w:p>
    <w:p>
      <w:pPr>
        <w:spacing w:after="0" w:line="92" w:lineRule="exact"/>
        <w:rPr>
          <w:sz w:val="20"/>
          <w:szCs w:val="20"/>
          <w:color w:val="auto"/>
        </w:rPr>
      </w:pPr>
    </w:p>
    <w:p>
      <w:pPr>
        <w:jc w:val="both"/>
        <w:ind w:left="660" w:hanging="328"/>
        <w:spacing w:after="0" w:line="286"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Options are rights to purchase a specified number of shares of our common stock at a price fixed by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less than the fair market value on the date of grant. Options generally expire no later than ten years after the date of grant. Options will become exercisable at such time and in such installments as our Compensation Committee will determine.</w:t>
      </w:r>
    </w:p>
    <w:p>
      <w:pPr>
        <w:spacing w:after="0" w:line="111"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An SAR entitles the holder to receive, upon exercise, an amount equal to any positive difference between the fair market value of one share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on the date an SAR is exercised and the exercise price, multiplied by the number of shares of common stock with respect to which an SAR is exercised. Our Compensation Committee will have the authority to determine whether the amount to be paid upon exercise of an SAR will be paid in cash, common stock or a combination of cash and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jc w:val="both"/>
        <w:ind w:left="660" w:hanging="328"/>
        <w:spacing w:after="0" w:line="293" w:lineRule="auto"/>
        <w:tabs>
          <w:tab w:leader="none" w:pos="65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provide for a specified number of shares of our common stock subject to a restriction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during a period of time or until performance measures are satisfied, as established by our Compensation Committee. Unless otherwise set forth in the agreement relating to a restricted stock award, the holder has all the rights of a shareholder, including voting rights, the right to receive dividends and the right to participate in any capital adjustment applicable to all holders of common stock; provided, however, that our Compensation Committee may determine that distributions with respect to shares of common stock will be reinvested in additional shares of common stock and will be subject to the same restrictions as the shares of common stock with respect to which such distribution was made.</w:t>
      </w:r>
    </w:p>
    <w:p>
      <w:pPr>
        <w:spacing w:after="0" w:line="110"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RSU Awards</w:t>
      </w:r>
      <w:r>
        <w:rPr>
          <w:rFonts w:ascii="Arial" w:cs="Arial" w:eastAsia="Arial" w:hAnsi="Arial"/>
          <w:sz w:val="17"/>
          <w:szCs w:val="17"/>
          <w:color w:val="auto"/>
        </w:rPr>
        <w:t>. An RSU award is a right to receive a specified number of shares of our common stock (or the fair market value thereof in cash, or</w:t>
      </w:r>
      <w:r>
        <w:rPr>
          <w:rFonts w:ascii="Arial" w:cs="Arial" w:eastAsia="Arial" w:hAnsi="Arial"/>
          <w:sz w:val="17"/>
          <w:szCs w:val="17"/>
          <w:i w:val="1"/>
          <w:iCs w:val="1"/>
          <w:color w:val="auto"/>
        </w:rPr>
        <w:t xml:space="preserve"> </w:t>
      </w:r>
      <w:r>
        <w:rPr>
          <w:rFonts w:ascii="Arial" w:cs="Arial" w:eastAsia="Arial" w:hAnsi="Arial"/>
          <w:sz w:val="17"/>
          <w:szCs w:val="17"/>
          <w:color w:val="auto"/>
        </w:rPr>
        <w:t>any combination of our common stock and cash, as determined by our Compensation Committee), subject to the expiration of a specified restriction period and/or the achievement of any performance measures selected by our Compensation Committee, consistent with the terms of the Incentive Plan. The RSU award agreement will specify whether the award recipient is entitled to receive dividend equivalents with respect to the number of shares of our common stock subject to the award. Prior to the settlement of an RSU award in our common stock, the award recipient will have no rights as a shareholder of our Company with respect to our common stock subject to the award.</w:t>
      </w:r>
    </w:p>
    <w:p>
      <w:pPr>
        <w:spacing w:after="0" w:line="12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are awards whose final value or amount, if any, is determined by the degree to which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have been achieved during a performance period set by our Compensation Committee. Payment may be made in the form of cash, shares, other awards, or a combination thereof, as specified by our Compensation Committee.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Other Cash-Based Awards. </w:t>
      </w:r>
      <w:r>
        <w:rPr>
          <w:rFonts w:ascii="Arial" w:cs="Arial" w:eastAsia="Arial" w:hAnsi="Arial"/>
          <w:sz w:val="18"/>
          <w:szCs w:val="18"/>
          <w:color w:val="auto"/>
        </w:rPr>
        <w:t>Our Compensation Committee is authorized, subject to limitations under applicable law, to grant such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denominated or payable in, valued in whole or in part by reference to, or otherwise based on, or related to, cash on such terms and conditions as set by our Compensation Committee.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Our Compensation Committee is authorized, subject to limitations under applicable law, to grant other types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denominated or payable in, valued in whole or in part by reference to, or otherwise based on, or related to, shares or factors that may influence the value of shares.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award agreement may contain additional terms and restrictions, including vesting conditions, not inconsistent with the terms of the Incentive Plan, as our Compensation Committee may determine.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Except as provided in the adjustment provision of the Incentive Plan, no action will directly or indirectly, through cancellation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regrant or any other method, reduce, or have the effect of reducing, the exercise price of any option or an SAR established at the time of grant thereof without approval of our stockholders.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Director Pay Cap</w:t>
      </w:r>
      <w:r>
        <w:rPr>
          <w:rFonts w:ascii="Arial" w:cs="Arial" w:eastAsia="Arial" w:hAnsi="Arial"/>
          <w:sz w:val="18"/>
          <w:szCs w:val="18"/>
          <w:color w:val="auto"/>
        </w:rPr>
        <w:t>. Subject to the adjustment provision of the Incentive Plan, an individual who is a non-employee director may not receive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otherwise, for any calendar year that total more than $750,000 in the aggregate.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Termination of Employment or Service and Change in Control</w:t>
      </w:r>
      <w:r>
        <w:rPr>
          <w:rFonts w:ascii="Arial" w:cs="Arial" w:eastAsia="Arial" w:hAnsi="Arial"/>
          <w:sz w:val="17"/>
          <w:szCs w:val="17"/>
          <w:color w:val="auto"/>
        </w:rPr>
        <w:t>. Our Compensation Committee will determine the effect of a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or service on outstanding awards, including whether the awards will vest, become exercisable, settle, be paid or be forfeited. Any Award held by such Participant carrying a right to exercise and that was not previously exercisable and vested shall become fully exercisable and vested if: (i) the employment of a Participant is terminated without Cause or such Participant resigns for Good Reason following a Change in Control or (ii) an outstanding Award is not assumed, converted or replaced on an equivalent basis in connection with a Change in Control. Any performance criteria to which any such award is subject will be deemed to be satisfied at the greater of target and maximum level of performance.</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Subject to certain restrictions, our board of directors may amend, alter, suspend, discontinue or terminate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at any time. Our Compensation Committee may also amend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award documents. However, subject to the adjustment and change in control provisions of the Incentive Plan, any such action that would materially adversely affect the rights of a holder of an outstanding award may not be taken without the holder’s consent, except to the extent that such action is taken to cause the Incentive Plan to comply with applicable law, stock market or exchange rules and regulations, or accounting or tax rules and regulations, or to impose any “clawback” or recoupment provisions on any outstanding awards in accordance with the Incentive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Privia Health adopted the Privia Health Group, Inc. Employee Stock Purchase Plan (the “ESPP”), which will be effective in connection with our initial public offering. The ESPP is administered by our compensation committee unless another committee is designated by our Board of Directors (in either event, the “ESPP Committee”).</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total of up to 1% of our common stock issued and outstanding after the closing of this offering has been authorized for issuance under the ESPP. The total number of shares available for purchase under the ESPP will increase on the first day of each fiscal year following the effective date of the ESPP in an amount equal to up to 1% of the shares authorized on the last day of the immediately preceding year as determined by the ESPP Committee in its discretion; provided that the maximum number of shares that may be issued under the ESPP in any event will be 10% of our common stock issued and outstanding after the closing of our initial public offering, subject to adjustment in the event of a dividend or other distribution (whether in the form of cash, common stock, or other property), recapitalization, stock split, reverse stock split, reorganization, merger, amalgamation, consolidation, split-up, spin-off, combination, repurchase, or exchange of common stock or other securities of us, or other similar event.</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employees or employees of certain of our subsidiaries (each a “Participating Subsidiary”) may be required to satisfy one or more of the following service requirements before participating in the ESPP, as determined by our ESPP Committee: (i) customary employment with us or a Participating Subsidiary for more than 20 hours per week and more than five months per calendar year, or (ii) continuous employment with us or a Participating Subsidiary for at least six months prior to the first date of an offering. An employee may not be granted options to purchase stock under the ESPP if such employee (a) immediately after the grant would own stock possessing 5% or more of the total combined voting power or value of our common stock, (b) holds rights to purchase stock under the ESPP that would accrue at a rate that exceeds $25,000 based on the fair market value of our stock for each calendar year that the options remain outstanding or (c) has the title of senior vice president or above and is a “highly compensated employee” (within the meaning of Section 414(q) of the Code) of us or one of the Participating Subsidiaries or (d) is located outside of the United States to the extent permitted under Section 423 of the Code.</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offering will have one or more purchase dates on which shares of our common stock will be purchased for the employees who are participating in the offering. The ESPP Committee, in its discretion, will determine the terms of offerings under the ESPP. The ESPP permits participating employees to purchase shares of our common stock through payroll deductions in an amount equal to at least 1%, but not more than 10% of the employee’s compensation, and in no event for more than 3,000 shares of our Common Stock during any offering period. The purchase price of the shares of our common stock will be not less than 85% (or such greater percentage as designated by the ESPP Committee) of the fair market value of our common stock on the date of purchase.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of a specified corporate transaction, such as a merger, amalgamation or acquisition of stock or property, a successor corporation may assume or substitute each outstanding option. If the successor corporation does not assume or substitute the outstanding options, the offering in progress will be shortened and a new exercise date will be set. Employees’ options will be exercised on the new exercise date and such options will terminate immediately thereafter. Notwithstanding the foregoing, in the event of a specified corporate transaction, the ESPP Committee may elect to terminate all outstanding offerings.</w:t>
      </w:r>
    </w:p>
    <w:p>
      <w:pPr>
        <w:spacing w:after="0" w:line="12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ESPP is intended to qualify as an employee stock purchase plan under Section 423 of the Code. The ESPP will remain in effect for ten years following the effective date of the ESPP unless terminated earlier by the ESPP Committee in accordance with the terms of the ESPP. Our ESPP Committee has the authority to amend, suspend or terminate the ESPP at any time and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116"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“Management—Board Structure and Compensation of Directors” and “Executive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Agreement</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connection with our initial public offering, we entered into a Shareholder Rights Agreement with the Lead Sponsors that provides each Lead Sponsor with the right to designate nominees for election to our Board. The Lead Sponsors may also assign their designation rights under the Shareholder Rights Agreement to an affiliate. The Shareholder Rights Agreement provides each Lead Sponsor the right to designate: (i) three nominees for so long as such Lead Sponsor beneficially owns at least 15% of the common stock (at least one of each of whom shall qualify as “independent” for purposes of serving on the audit committee), (ii) two nominees for so long as such Lead Sponsor beneficially owns between 10% and 15% of the common stock and</w:t>
      </w:r>
    </w:p>
    <w:p>
      <w:pPr>
        <w:spacing w:after="0" w:line="2" w:lineRule="exact"/>
        <w:rPr>
          <w:sz w:val="20"/>
          <w:szCs w:val="20"/>
          <w:color w:val="auto"/>
        </w:rPr>
      </w:pPr>
    </w:p>
    <w:p>
      <w:pPr>
        <w:jc w:val="both"/>
        <w:ind w:firstLine="8"/>
        <w:spacing w:after="0" w:line="266" w:lineRule="auto"/>
        <w:tabs>
          <w:tab w:leader="none" w:pos="31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one nominee so long as such Lead Sponsor owns between 5% and 10% of the common stock. In each case, the Lead Sponsors’ nominees must comply with applicable law and stock exchange rules. The Lead Sponsors will agree in the Shareholder Rights Agreement to vote any shares of our common stock and any other securities held by them in favor of the election to our Board of the directors so designated. At any time when a Lead Sponsor has the right to designate at least one nominee for election to our Board, such Lead Sponsors will also have the right to have one of their nominated directors hold one seat on each Board committee, subject to satisfying any applicable stock exchange rules or regulations regarding the independence of Board committee members. In addition, the Lead Sponsors shall be entitled to designate the replacement for any of their board designees whose board service terminates prior to the end of the director’s term regardless of the applicable Lead Sponsor’s beneficial ownership at such time. The Shareholder Rights Agreement will also prohibit us from increasing or decreasing the size of our Board without the prior written consent of the Lead Sponsors. In addition, for so long as either Lead Sponsor owns at least 15% of the common stock, its consent will be required for certain corporate actions, including a change of control; acquisitions or dispositions of assets in an amount exceeding 15% of the Company’s total assets; the issuance of equity by the Company or any of its subsidiaries (other than under equity incentive plans that have received the prior approval of our board of directors) in an amount exceeding $50 million; the incurrence of indebtedness by the Company or any of its subsidiaries in an amount exceeding $50 million; amendments to the Company’s amended and restated certificate of incorporation or amended and restated bylaws; changes to the Company’s strategic direction or scope of its business; any change in the size of the Company’s board of directors; the hiring or termination of the Chief Executive Officer, Chief Financial Officer and Chief Operational Officer; and approval of annual budget. This agreement will terminate at such time as each Lead Sponsor owns less than 5% of our outstanding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Prior to the consummation of our IPO, we entered into a registration rights agreement with certain indirect beneficial owners of greater than 1% of our common stock, including Goldman Sachs &amp; Co., Pamplona Capital Management, Jeff Butler and Bill Sullivan, among others (the “Registration Rights Agreement”). Pursuant to the Registration Rights Agreement, upon a distribution of shares of our common stock to holders of LLC units of our parent, Brighton Health Group Holdings, LLC, holders of approximately 80,409,883 shares of our common stock (or shares underlying options to purchase common stock) or their transferees became entitled to the following rights with respect to the registration of such shares for public resale under the Securities Act. If exercised, these registration rights would enable holders to transfer these shares without restriction under the Securities Act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registration statement is declared effective. In addition, Mr. Butler, Mr. Sullivan and certain additional shareholders have the right to participate in block trades executed by the Lead Sponsors.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Demand Registration. </w:t>
      </w:r>
      <w:r>
        <w:rPr>
          <w:rFonts w:ascii="Arial" w:cs="Arial" w:eastAsia="Arial" w:hAnsi="Arial"/>
          <w:sz w:val="18"/>
          <w:szCs w:val="18"/>
          <w:color w:val="auto"/>
        </w:rPr>
        <w:t>Goldman Sachs &amp; Co. and Pamplona Capital Management may request in writing that we effect a demand registration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Securities Act with respect to their shares of our common stock subject to registration rights. Depending on certain conditions, we may defer a demand registration for up to 90 days in any twelve-month period. If the holders requesting registration intend to distribute their shares by means of an underwriting, the managing underwriter of such offering will have the right to limit the numbers of shares to be underwritten for reasons related to the marketing of the shares. To the degree that neither Goldman Sachs &amp; Co., nor Pamplona Capital Management have requested that we effect a demand registration within twenty-four months of the closing of this offering, certain additional shareholders will have the right to request that we effect one demand registration of their shares of our common stock.</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Piggyback Registration. </w:t>
      </w:r>
      <w:r>
        <w:rPr>
          <w:rFonts w:ascii="Arial" w:cs="Arial" w:eastAsia="Arial" w:hAnsi="Arial"/>
          <w:sz w:val="18"/>
          <w:szCs w:val="18"/>
          <w:color w:val="auto"/>
        </w:rPr>
        <w:t>In the event that we propose to register any of our securities under the Securities Act after this offering, either for our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for the account of our other security holders, holders will be entitled to certain piggyback registration rights allowing each to include its shares in the registration, subject to certain marketing and other limitations. As a result, whenever we propose to file a registration statement under the Securities Act other than with respect to a registration statement on Form S-4 or S-8, these holders will be entitled to notice of the registration and will have the right to include their registrable securities in the registration subject to certain limitations.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Expenses; Indemnification. </w:t>
      </w:r>
      <w:r>
        <w:rPr>
          <w:rFonts w:ascii="Arial" w:cs="Arial" w:eastAsia="Arial" w:hAnsi="Arial"/>
          <w:sz w:val="18"/>
          <w:szCs w:val="18"/>
          <w:color w:val="auto"/>
        </w:rPr>
        <w:t>The Registration Rights Agreement provides that we will pay all registration expenses in connection with effecting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registration. The Registration Rights Agreement contains customary indemnification and contribution provisions.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registration rights will remain in effect with respect to any shares covered by the Registration Rights Agreement until such time as no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registrable shares remain outstanding or each holder owns less than 1% of our outstanding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Sponsor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this offering, certain affiliates of our Lead Sponsors will be serving as an underwriter. For additional information on these arrangements, see “Underwriting (Conflicts of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is a summary of the terms of the agreement governing certain of our outstanding indebtedness. This summary is not a complete description of all of the terms of the agreement. The agreement setting forth the terms and conditions of certain of our outstanding indebtedness is filed with the SEC as an exhibit to the registration statement of which this prospectus is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15, 2019, we entered into a credit agreement with Silicon Valley Bank (“SVB”), as administrative agent and collateral agent, and the several lenders from time to time thereto, which was amended on July 17, 2020 and March 8, 2021 (as amended, the “Original Credit Agreement”). The Original Credit Agreement provided for up to $35.0 million in term loans (the “Term Loan Facility”) that mature on November 15, 2024 with interest payable monthly at the lesser of LIBOR plus 2.0% or ABR plus 1.0% payable monthly (3.0% at September 30, 2021), plus up to an additional $10.0 million of financing (which was increased to $15.0 million in connection with the first amendment) in the form of a revolving loan (the “Revolving Loan Facility” and together with the Term Loan Facility, the “Credit Facilities”). The Revolving Loan Facility also includes a letter of credit sub-facility in the aggregate availability amount of $2.0 million and a swingline sub-facility in the aggregate availability amount of $2.0 million. The proceeds from borrowings under the Credit Facilities were used to repay an earlier credit agreement and for general corporate purposes.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27, 2021, the Company and certain of its subsidiaries entered into an assumption agreement and third amendment (the “Third Amendment”) to the Original Credit Agreement (as amended by the Third Amendment, the “Credit Agreement”). Pursuant to the Third Amendment, the Company became the parent guarantor under the Credit Agreement and granted the Administrative Agent a first-priority security interest on substantially all of its real and personal property, subject to permitted liens.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Third Amendment increased the size of the Revolving Loan Facility to $65.0 million, increased the letter of credit sub-facility to $5.0 million and extended the maturity date of the Credit Agreement to August 27, 2026. In addition, the Amendment, among other things, (i) changed the Term Loan Facility amortization schedule to 0.625% of the original principal amount of term loans for the fiscal quarters ending September 30, 2021 through and including June 30, 2024 and 1.25% of the original principal amount of term loans for the fiscal quarters ending thereafter and (ii) added a 1.0% prepayment premium for any term loans prepaid within six months of the effective date of the Third Amendment. The Third Amendment converted the financial covenants in the Original Credit Agreement to “springing” financial covenants, so that at any time the Company’s cash is less than 125% of the outstanding borrowings under the Credit Facilities, or at least $15.0 million of borrowings are outstanding under the Revolving Loan, the Company will be required to maintain (i) a consolidated fixed charge coverage ratio of not less than 1.25 to 1.0, and (ii) a consolidated leverage ratio of no more than 3.0 to 1.0. As of September 30, 2021, we had borrowed $33.5 million under the Term Loan Facility and $0.0 million under the Revolving Loan Facility, with $0.0 million and $65.0 million available for future borrowings under the Term Loan Facility and Revolving Loan Facility, respectively. As of September 30, 2021, “springing” financial covenants were not applicable.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Borrowings under the Credit Facilities bear interest, at the borrower’s option, at a rate per annum equal to an applicable margin plus either:</w:t>
      </w:r>
    </w:p>
    <w:p>
      <w:pPr>
        <w:spacing w:after="0" w:line="183" w:lineRule="exact"/>
        <w:rPr>
          <w:sz w:val="20"/>
          <w:szCs w:val="20"/>
          <w:color w:val="auto"/>
        </w:rPr>
      </w:pPr>
    </w:p>
    <w:p>
      <w:pPr>
        <w:ind w:left="660" w:hanging="328"/>
        <w:spacing w:after="0" w:line="277" w:lineRule="auto"/>
        <w:tabs>
          <w:tab w:leader="none" w:pos="6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LIBOR rate determined by reference to the LIBOR rate published on the applicable Bloomberg screen page for the interest period relevant to such borrowing; provided that the LIBOR rate shall not be less than 0.5%; or</w:t>
      </w:r>
    </w:p>
    <w:p>
      <w:pPr>
        <w:spacing w:after="0" w:line="116"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base rate determined by reference to the highest of (i) the administrative agent’s prime lending rate or (ii) the federal funds effective rate in effect for such day plus 0.50%; provided that in no event shall the ABR be deemed to be less than 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for a 1.0% prepayment premium applicable to any term loans prepaid within six months of the effective date of the Third Amendment, we may prepay our borrowings under the Credit Facilities, in whole or in part, at any time and from time to time without a premium or penalty other than customary breakage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Final Maturity and Amortization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Credit Agreement requires that the loans (the “Term Loans”) under Term Loan Facility be repaid in consecutive quarterly installments on the last day of each fiscal quarter, each of which installments shall be in an amount equal to (a) from March 31, 2020 through and including June 30, 2024, 0.625% of the original principal amount of Term Loans and () from June 30, 2024 and thereafter, 1.25% of the original principal amount of the Term Loans. A 1.0% prepayment premium applies to any term loans prepaid within six months of the effective date of the Third Amendment. To the extent not previously paid, all loans shall be due and payable on August 27, 2026.</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obligations under the Credit Agreement are unconditionally guaranteed by PH Group Holdings Corp. and each of the borrower’s existing and future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obligations under the Credit Agreement are secured, subject to permitted liens and other exceptions, by a first-priority perfected security interest on substantially all of our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contains customary representations and warranties, affirmative covenants, reporting obligations and negative covenants. The negative covenants restrict our ability to (subject to certain exceptions):</w:t>
      </w:r>
    </w:p>
    <w:p>
      <w:pPr>
        <w:spacing w:after="0" w:line="116"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incur or guarantee additional indebtedness or other contingent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 into agreements which limit our ability and the ability of our restricted subsidiaries to incur restrictions on their ability to make distributions;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Credit Agreement requires us to maintain a maximum (i) consolidated fixed charge coverage ratio, determined as of the last day of any period of four (4) consecutive fiscal quarters of Privia Health Group, Inc., commencing with the fiscal quarter ending December 31, 2019, to be less than 1.25:1.00, and (ii) consolidated leverage ratio, determined as of the last day of any period of four (4) consecutive fiscal quarters of Privia Health Group, Inc. ending with any quarter not to exceed 3.00:1.00.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lenders under the Credit Agreement are permitted to accelerate the loans and terminate commitments thereunder or exercise other remedies upon the occurrence of certain customary events of default, subject to certain grace periods and exceptions. These events of default include, among others, payment defaults, cross-defaults, covenant defaults, material inaccuracy of representations and warranties, certain events of bankruptcy, material judgments, material defects with respect to lenders’ perfection on the collateral, and changes of control, none of which are expected to be triggered by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0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PRINCIPAL AND SELLING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October 15, 2021, by:</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whom we know to own beneficially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directors and named executive officers individually;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directors and executive officers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the rules of the SEC, beneficial ownership includes voting or investment power with respect to securities and includes the shares issuable pursuant to stock options that are exercisable within 60 days of October 15, 2021. Shares issuable pursuant to stock options are deemed outstanding for computing the percentage of the person holding such options but are not outstanding for computing the percentage of any other person. The percentage of beneficial ownership for the following table is based on 106,256,008 shares of common stock outstanding as of October 15, 2021. Unless otherwise indicated, the address for each listed stockholder is: c/o Privia Health Group, Inc., 950 N. Glebe Rd., Suite 700, Arlington, VA 22203. To our knowledge, except as indicated in the footnotes to this table and pursuant to applicable community property laws, the persons named in the table have sole voting and investment power with respect to all shares of common stock.</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3"/>
                <w:szCs w:val="13"/>
                <w:b w:val="1"/>
                <w:bCs w:val="1"/>
                <w:color w:val="auto"/>
                <w:w w:val="91"/>
              </w:rPr>
              <w:t>Shares beneficially owned prior to the offering</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3"/>
                <w:szCs w:val="13"/>
                <w:b w:val="1"/>
                <w:bCs w:val="1"/>
                <w:color w:val="auto"/>
                <w:w w:val="93"/>
              </w:rPr>
              <w:t>Shares beneficially owned after the offering</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380" w:type="dxa"/>
            <w:vAlign w:val="bottom"/>
            <w:gridSpan w:val="2"/>
          </w:tcPr>
          <w:p>
            <w:pPr>
              <w:ind w:left="420"/>
              <w:spacing w:after="0"/>
              <w:rPr>
                <w:sz w:val="20"/>
                <w:szCs w:val="20"/>
                <w:color w:val="auto"/>
              </w:rPr>
            </w:pPr>
            <w:r>
              <w:rPr>
                <w:rFonts w:ascii="Arial" w:cs="Arial" w:eastAsia="Arial" w:hAnsi="Arial"/>
                <w:sz w:val="13"/>
                <w:szCs w:val="13"/>
                <w:b w:val="1"/>
                <w:bCs w:val="1"/>
                <w:color w:val="auto"/>
              </w:rPr>
              <w:t>Number</w:t>
            </w:r>
          </w:p>
        </w:tc>
        <w:tc>
          <w:tcPr>
            <w:tcW w:w="1420" w:type="dxa"/>
            <w:vAlign w:val="bottom"/>
          </w:tcPr>
          <w:p>
            <w:pPr>
              <w:jc w:val="right"/>
              <w:ind w:right="411"/>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w w:val="88"/>
              </w:rPr>
              <w:t>Shares offered hereby</w:t>
            </w:r>
          </w:p>
        </w:tc>
        <w:tc>
          <w:tcPr>
            <w:tcW w:w="1540" w:type="dxa"/>
            <w:vAlign w:val="bottom"/>
          </w:tcPr>
          <w:p>
            <w:pPr>
              <w:jc w:val="right"/>
              <w:ind w:right="592"/>
              <w:spacing w:after="0"/>
              <w:rPr>
                <w:sz w:val="20"/>
                <w:szCs w:val="20"/>
                <w:color w:val="auto"/>
              </w:rPr>
            </w:pPr>
            <w:r>
              <w:rPr>
                <w:rFonts w:ascii="Arial" w:cs="Arial" w:eastAsia="Arial" w:hAnsi="Arial"/>
                <w:sz w:val="13"/>
                <w:szCs w:val="13"/>
                <w:b w:val="1"/>
                <w:bCs w:val="1"/>
                <w:color w:val="auto"/>
              </w:rPr>
              <w:t>Number</w:t>
            </w:r>
          </w:p>
        </w:tc>
        <w:tc>
          <w:tcPr>
            <w:tcW w:w="1200" w:type="dxa"/>
            <w:vAlign w:val="bottom"/>
          </w:tcPr>
          <w:p>
            <w:pPr>
              <w:jc w:val="right"/>
              <w:ind w:right="431"/>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Selling stockholders</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line="230" w:lineRule="exact"/>
              <w:rPr>
                <w:sz w:val="20"/>
                <w:szCs w:val="20"/>
                <w:color w:val="auto"/>
              </w:rPr>
            </w:pPr>
            <w:r>
              <w:rPr>
                <w:rFonts w:ascii="Arial" w:cs="Arial" w:eastAsia="Arial" w:hAnsi="Arial"/>
                <w:sz w:val="18"/>
                <w:szCs w:val="18"/>
                <w:color w:val="auto"/>
              </w:rPr>
              <w:t>Broad Street Principal Investments, L.L.C.</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26,052,158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2,384,906</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23,667,252</w:t>
            </w:r>
          </w:p>
        </w:tc>
        <w:tc>
          <w:tcPr>
            <w:tcW w:w="1200" w:type="dxa"/>
            <w:vAlign w:val="bottom"/>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MBD 2013 Holdings, L.P.</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1,228,697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112,479</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1,116,218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line="230" w:lineRule="exact"/>
              <w:rPr>
                <w:sz w:val="20"/>
                <w:szCs w:val="20"/>
                <w:color w:val="auto"/>
              </w:rPr>
            </w:pPr>
            <w:r>
              <w:rPr>
                <w:rFonts w:ascii="Arial" w:cs="Arial" w:eastAsia="Arial" w:hAnsi="Arial"/>
                <w:sz w:val="18"/>
                <w:szCs w:val="18"/>
                <w:color w:val="auto"/>
              </w:rPr>
              <w:t>Bridge Street 2013 Holdings L.P.</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3,231,238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295,799</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2,935,439</w:t>
            </w:r>
          </w:p>
        </w:tc>
        <w:tc>
          <w:tcPr>
            <w:tcW w:w="120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Pamplona Capital Partners III, L.P.</w:t>
            </w:r>
            <w:r>
              <w:rPr>
                <w:rFonts w:ascii="Arial" w:cs="Arial" w:eastAsia="Arial" w:hAnsi="Arial"/>
                <w:sz w:val="23"/>
                <w:szCs w:val="23"/>
                <w:color w:val="auto"/>
                <w:vertAlign w:val="superscript"/>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21,810,983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1,996,654</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19,814,329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line="230" w:lineRule="exact"/>
              <w:rPr>
                <w:sz w:val="20"/>
                <w:szCs w:val="20"/>
                <w:color w:val="auto"/>
              </w:rPr>
            </w:pPr>
            <w:r>
              <w:rPr>
                <w:rFonts w:ascii="Arial" w:cs="Arial" w:eastAsia="Arial" w:hAnsi="Arial"/>
                <w:sz w:val="18"/>
                <w:szCs w:val="18"/>
                <w:color w:val="auto"/>
              </w:rPr>
              <w:t>Brighton Family, LLC</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6,917,159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633,221</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6,283,938</w:t>
            </w:r>
          </w:p>
        </w:tc>
        <w:tc>
          <w:tcPr>
            <w:tcW w:w="120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Jeffrey B. Butler</w:t>
            </w:r>
            <w:r>
              <w:rPr>
                <w:rFonts w:ascii="Arial" w:cs="Arial" w:eastAsia="Arial" w:hAnsi="Arial"/>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479,192</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4,755,388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line="230" w:lineRule="exact"/>
              <w:rPr>
                <w:sz w:val="20"/>
                <w:szCs w:val="20"/>
                <w:color w:val="auto"/>
              </w:rPr>
            </w:pPr>
            <w:r>
              <w:rPr>
                <w:rFonts w:ascii="Arial" w:cs="Arial" w:eastAsia="Arial" w:hAnsi="Arial"/>
                <w:sz w:val="18"/>
                <w:szCs w:val="18"/>
                <w:color w:val="auto"/>
              </w:rPr>
              <w:t>National Investment Group, Inc.</w:t>
            </w:r>
            <w:r>
              <w:rPr>
                <w:rFonts w:ascii="Arial" w:cs="Arial" w:eastAsia="Arial" w:hAnsi="Arial"/>
                <w:sz w:val="23"/>
                <w:szCs w:val="23"/>
                <w:color w:val="auto"/>
                <w:vertAlign w:val="superscript"/>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2,258,503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99,374</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2,159,129</w:t>
            </w:r>
          </w:p>
        </w:tc>
        <w:tc>
          <w:tcPr>
            <w:tcW w:w="12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HEP Privia Investors, LLC</w:t>
            </w:r>
            <w:r>
              <w:rPr>
                <w:rFonts w:ascii="Arial" w:cs="Arial" w:eastAsia="Arial" w:hAnsi="Arial"/>
                <w:sz w:val="23"/>
                <w:szCs w:val="23"/>
                <w:color w:val="auto"/>
                <w:vertAlign w:val="superscript"/>
              </w:rPr>
              <w:t>(6)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199,824</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1,983,004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line="230" w:lineRule="exact"/>
              <w:rPr>
                <w:sz w:val="20"/>
                <w:szCs w:val="20"/>
                <w:color w:val="auto"/>
              </w:rPr>
            </w:pPr>
            <w:r>
              <w:rPr>
                <w:rFonts w:ascii="Arial" w:cs="Arial" w:eastAsia="Arial" w:hAnsi="Arial"/>
                <w:sz w:val="18"/>
                <w:szCs w:val="18"/>
                <w:color w:val="auto"/>
              </w:rPr>
              <w:t>David Rothenberg</w:t>
            </w:r>
            <w:r>
              <w:rPr>
                <w:rFonts w:ascii="Arial" w:cs="Arial" w:eastAsia="Arial" w:hAnsi="Arial"/>
                <w:sz w:val="23"/>
                <w:szCs w:val="23"/>
                <w:color w:val="auto"/>
                <w:vertAlign w:val="superscript"/>
              </w:rPr>
              <w:t>(7)</w:t>
            </w:r>
          </w:p>
        </w:tc>
        <w:tc>
          <w:tcPr>
            <w:tcW w:w="1280" w:type="dxa"/>
            <w:vAlign w:val="bottom"/>
          </w:tcPr>
          <w:p>
            <w:pPr>
              <w:jc w:val="right"/>
              <w:spacing w:after="0"/>
              <w:rPr>
                <w:sz w:val="20"/>
                <w:szCs w:val="20"/>
                <w:color w:val="auto"/>
              </w:rPr>
            </w:pPr>
            <w:r>
              <w:rPr>
                <w:rFonts w:ascii="Arial" w:cs="Arial" w:eastAsia="Arial" w:hAnsi="Arial"/>
                <w:sz w:val="18"/>
                <w:szCs w:val="18"/>
                <w:color w:val="auto"/>
              </w:rPr>
              <w:t>1,226,943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112,319</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1,114,624</w:t>
            </w:r>
          </w:p>
        </w:tc>
        <w:tc>
          <w:tcPr>
            <w:tcW w:w="12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Shawn Morris</w:t>
            </w:r>
            <w:r>
              <w:rPr>
                <w:rFonts w:ascii="Arial" w:cs="Arial" w:eastAsia="Arial" w:hAnsi="Arial"/>
                <w:sz w:val="23"/>
                <w:szCs w:val="23"/>
                <w:color w:val="auto"/>
                <w:vertAlign w:val="superscript"/>
              </w:rPr>
              <w:t>(8)</w:t>
            </w:r>
          </w:p>
        </w:tc>
        <w:tc>
          <w:tcPr>
            <w:tcW w:w="1280" w:type="dxa"/>
            <w:vAlign w:val="bottom"/>
          </w:tcPr>
          <w:p>
            <w:pPr>
              <w:jc w:val="right"/>
              <w:spacing w:after="0"/>
              <w:rPr>
                <w:sz w:val="20"/>
                <w:szCs w:val="20"/>
                <w:color w:val="auto"/>
              </w:rPr>
            </w:pPr>
            <w:r>
              <w:rPr>
                <w:rFonts w:ascii="Arial" w:cs="Arial" w:eastAsia="Arial" w:hAnsi="Arial"/>
                <w:sz w:val="18"/>
                <w:szCs w:val="18"/>
                <w:color w:val="auto"/>
              </w:rPr>
              <w:t>4,129,931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377,959</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3,751,972</w:t>
            </w:r>
          </w:p>
        </w:tc>
        <w:tc>
          <w:tcPr>
            <w:tcW w:w="12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Parth Mehrotra</w:t>
            </w:r>
            <w:r>
              <w:rPr>
                <w:rFonts w:ascii="Arial" w:cs="Arial" w:eastAsia="Arial" w:hAnsi="Arial"/>
                <w:sz w:val="23"/>
                <w:szCs w:val="23"/>
                <w:color w:val="auto"/>
                <w:vertAlign w:val="superscript"/>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1,982,034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176,047</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1,805,987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Thomas Bartrum</w:t>
            </w:r>
            <w:r>
              <w:rPr>
                <w:rFonts w:ascii="Arial" w:cs="Arial" w:eastAsia="Arial" w:hAnsi="Arial"/>
                <w:sz w:val="23"/>
                <w:szCs w:val="23"/>
                <w:color w:val="auto"/>
                <w:vertAlign w:val="superscript"/>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32,226</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David Mountcastle</w:t>
            </w:r>
            <w:r>
              <w:rPr>
                <w:rFonts w:ascii="Arial" w:cs="Arial" w:eastAsia="Arial" w:hAnsi="Arial"/>
                <w:sz w:val="23"/>
                <w:szCs w:val="23"/>
                <w:color w:val="auto"/>
                <w:vertAlign w:val="superscript"/>
              </w:rPr>
              <w:t>(11)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Jeff Bernstein</w:t>
            </w:r>
            <w:r>
              <w:rPr>
                <w:rFonts w:ascii="Arial" w:cs="Arial" w:eastAsia="Arial" w:hAnsi="Arial"/>
                <w:sz w:val="23"/>
                <w:szCs w:val="23"/>
                <w:color w:val="auto"/>
                <w:vertAlign w:val="superscript"/>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30,512,093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2,423,534</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28,088,559</w:t>
            </w:r>
          </w:p>
        </w:tc>
        <w:tc>
          <w:tcPr>
            <w:tcW w:w="1200" w:type="dxa"/>
            <w:vAlign w:val="bottom"/>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Jeff Butler</w:t>
            </w:r>
            <w:r>
              <w:rPr>
                <w:rFonts w:ascii="Arial" w:cs="Arial" w:eastAsia="Arial" w:hAnsi="Arial"/>
                <w:sz w:val="23"/>
                <w:szCs w:val="23"/>
                <w:color w:val="auto"/>
                <w:vertAlign w:val="superscript"/>
              </w:rPr>
              <w:t>(13)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479,192</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4,755,388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David King</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Thomas McCarthy</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Will Sherrill</w:t>
            </w:r>
            <w:r>
              <w:rPr>
                <w:rFonts w:ascii="Arial" w:cs="Arial" w:eastAsia="Arial" w:hAnsi="Arial"/>
                <w:sz w:val="23"/>
                <w:szCs w:val="23"/>
                <w:color w:val="auto"/>
                <w:vertAlign w:val="superscript"/>
              </w:rPr>
              <w:t>(14)</w:t>
            </w:r>
          </w:p>
        </w:tc>
        <w:tc>
          <w:tcPr>
            <w:tcW w:w="1280" w:type="dxa"/>
            <w:vAlign w:val="bottom"/>
          </w:tcPr>
          <w:p>
            <w:pPr>
              <w:jc w:val="right"/>
              <w:spacing w:after="0"/>
              <w:rPr>
                <w:sz w:val="20"/>
                <w:szCs w:val="20"/>
                <w:color w:val="auto"/>
              </w:rPr>
            </w:pPr>
            <w:r>
              <w:rPr>
                <w:rFonts w:ascii="Arial" w:cs="Arial" w:eastAsia="Arial" w:hAnsi="Arial"/>
                <w:sz w:val="18"/>
                <w:szCs w:val="18"/>
                <w:color w:val="auto"/>
              </w:rPr>
              <w:t>21,810,983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1,996,654</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19,814,329</w:t>
            </w:r>
          </w:p>
        </w:tc>
        <w:tc>
          <w:tcPr>
            <w:tcW w:w="120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Bill Sullivan</w:t>
            </w:r>
            <w:r>
              <w:rPr>
                <w:rFonts w:ascii="Arial" w:cs="Arial" w:eastAsia="Arial" w:hAnsi="Arial"/>
                <w:sz w:val="23"/>
                <w:szCs w:val="23"/>
                <w:color w:val="auto"/>
                <w:vertAlign w:val="superscript"/>
              </w:rPr>
              <w:t>(15)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6,917,159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633,221</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6,283,938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Patricia Maryland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Jaewon Ryu</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520"/>
              <w:spacing w:after="0" w:line="176" w:lineRule="exact"/>
              <w:rPr>
                <w:sz w:val="20"/>
                <w:szCs w:val="20"/>
                <w:color w:val="auto"/>
              </w:rPr>
            </w:pPr>
            <w:r>
              <w:rPr>
                <w:rFonts w:ascii="Arial" w:cs="Arial" w:eastAsia="Arial" w:hAnsi="Arial"/>
                <w:sz w:val="18"/>
                <w:szCs w:val="18"/>
                <w:color w:val="auto"/>
              </w:rPr>
              <w:t>All executive officers, directors and director</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71,207,633</w:t>
            </w:r>
          </w:p>
        </w:tc>
        <w:tc>
          <w:tcPr>
            <w:tcW w:w="1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67.0 %</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6,488,483</w:t>
            </w:r>
          </w:p>
        </w:tc>
        <w:tc>
          <w:tcPr>
            <w:tcW w:w="1540" w:type="dxa"/>
            <w:vAlign w:val="bottom"/>
            <w:vMerge w:val="restart"/>
          </w:tcPr>
          <w:p>
            <w:pPr>
              <w:jc w:val="right"/>
              <w:ind w:right="232"/>
              <w:spacing w:after="0"/>
              <w:rPr>
                <w:sz w:val="20"/>
                <w:szCs w:val="20"/>
                <w:color w:val="auto"/>
              </w:rPr>
            </w:pPr>
            <w:r>
              <w:rPr>
                <w:rFonts w:ascii="Arial" w:cs="Arial" w:eastAsia="Arial" w:hAnsi="Arial"/>
                <w:sz w:val="18"/>
                <w:szCs w:val="18"/>
                <w:color w:val="auto"/>
              </w:rPr>
              <w:t>64,719,150</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230"/>
        </w:trPr>
        <w:tc>
          <w:tcPr>
            <w:tcW w:w="4160" w:type="dxa"/>
            <w:vAlign w:val="bottom"/>
          </w:tcPr>
          <w:p>
            <w:pPr>
              <w:ind w:left="680"/>
              <w:spacing w:after="0"/>
              <w:rPr>
                <w:sz w:val="20"/>
                <w:szCs w:val="20"/>
                <w:color w:val="auto"/>
              </w:rPr>
            </w:pPr>
            <w:r>
              <w:rPr>
                <w:rFonts w:ascii="Arial" w:cs="Arial" w:eastAsia="Arial" w:hAnsi="Arial"/>
                <w:sz w:val="18"/>
                <w:szCs w:val="18"/>
                <w:color w:val="auto"/>
              </w:rPr>
              <w:t>nominees as a group (12 persons)</w:t>
            </w: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Denotes less than 1.0% of beneficial ownership.</w:t>
      </w:r>
    </w:p>
    <w:p>
      <w:pPr>
        <w:spacing w:after="0" w:line="232" w:lineRule="exact"/>
        <w:rPr>
          <w:sz w:val="20"/>
          <w:szCs w:val="20"/>
          <w:color w:val="auto"/>
        </w:rPr>
      </w:pPr>
    </w:p>
    <w:p>
      <w:pPr>
        <w:jc w:val="both"/>
        <w:ind w:left="340" w:hanging="332"/>
        <w:spacing w:after="0" w:line="245" w:lineRule="auto"/>
        <w:tabs>
          <w:tab w:leader="none" w:pos="33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(i) 26,052,158 shares of common stock held by Broad Street Principal Investments, L.L.C., (ii) 1,228,697 shares of common stock held by MBD 2013 Holdings L.P. and (iii) 3,231,238 shares of common stock held by Bridge Street 2013 Holdings L.P (collectively, the “GS Entities”). Goldman Sachs &amp; Co. LLC, or GS, is a wholly owned subsidiary of The Goldman Sachs Group, Inc., or GSG. Affiliates of GSG are the general partner, managing general partner or investment manager, as applicable, of the GS Entities. Each of GS and GSG disclaims beneficial ownership of the equity interests and the shares described above held directly or indirectly by the GS Entities, except to the extent of their pecuniary interest therein, if any. The address of each of GS and GSG is 200 West Street, New York, NY 10282.</w:t>
      </w:r>
    </w:p>
    <w:p>
      <w:pPr>
        <w:jc w:val="both"/>
        <w:ind w:left="340" w:hanging="332"/>
        <w:spacing w:after="0" w:line="241" w:lineRule="auto"/>
        <w:tabs>
          <w:tab w:leader="none" w:pos="33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21,810,983 shares of common stock. Pamplona Capital Partners III, L.P. is controlled by Pamplona Equity Advisors III Ltd., its general partner, which is controlled by Wade Kenny and Ronan Guilfoyle. Wade Kenny and Ronan Guilfoyle may be deemed to have voting and dispositive power with respect to the common stock directly owned by Pamplona Capital Partners III, L.P. and therefore be deemed to be the beneficial owners of the common stock held by Pamplona Capital Partners III, L.P., but each disclaim beneficial ownership of such common stock, except to the extent of their pecuniary interest therein, if any. The address of Pamplona Capital Partners III, L.P. is 94 Solaris Avenue, Camana Bay, PO Box 1348, Grand Cayman KY1-1108, Cayman Islands.</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3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6,917,159 shares of common stock. Brighton Family, LLC is controlled by Bill Sullivan who may be deemed to be the beneficial owners of the common stock held by Brighton Family, LLC. Mr. Sullivan disclaims beneficial ownership of such common stock, except to the extent of their pecuniary interest therein, if any. The address of Brighton Family, LLC is 135 5 Mile River Road, Darien, CT 06820.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5,234,580 shares of common stock.</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2,258,503 shares of common stock. Robert M. Haft, John Lyons and Linda Haft have voting and dispositive power with respect to the common stock directly owned by National Investment Group, Inc. and therefore may be deemed to be the beneficial owners of the common stock held by National Investment Group, Inc., but each disclaim beneficial ownership of such common stock, except to the extent of their pecuniary interest therein, if any. The address of National Investment Group, Inc. is 2346 Massachusetts Ave., Washington, DC, 20008.</w:t>
      </w:r>
    </w:p>
    <w:p>
      <w:pPr>
        <w:jc w:val="both"/>
        <w:ind w:left="340" w:hanging="332"/>
        <w:spacing w:after="0" w:line="241" w:lineRule="auto"/>
        <w:tabs>
          <w:tab w:leader="none" w:pos="33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2,182,828 shares of common stock. HEP Privia Investors, LLC is controlled by Health Enterprise Partners, L.P., which is controlled by its general partner, HEP Associates LLC. HEP Associates LLC exercises such voting and dispositive power through an investment committee consisting of three members. Each member has one vote, and the approval of a majority is required to approve an action. Under the so-called “rule of three,” if voting and dispositive decisions regarding an entity’s securities are made by three or more individuals, and voting or dispositive decisions require the approval of a majority of those individuals, then none of the individuals is deemed a beneficial owner of the entity’s securities. The address of HEP Privia Investors, LLC is 565 Fifth Avenue, 26th Floor, New York, NY 10017.</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1,226,943 shares of common stock.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4,129,931 shares of common stock underlying options to acquire common stock exercisable with 60 days of October 15,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47,825 shares of common stock and 1,934,209 shares of common stock underlying options to acquire common stock exercisable with 60 days of October 15,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352,033 shares of common stock underlying options to acquire common stock exercisable with 60 days of October 15,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53,079 shares of common stock and 215,741 shares of common stock underlying options to acquire common stock exercisable with 60 days of October 15, 2021.</w:t>
      </w:r>
    </w:p>
    <w:p>
      <w:pPr>
        <w:spacing w:after="0" w:line="1" w:lineRule="exact"/>
        <w:rPr>
          <w:rFonts w:ascii="Arial" w:cs="Arial" w:eastAsia="Arial" w:hAnsi="Arial"/>
          <w:sz w:val="14"/>
          <w:szCs w:val="14"/>
          <w:color w:val="auto"/>
        </w:rPr>
      </w:pPr>
    </w:p>
    <w:p>
      <w:pPr>
        <w:ind w:left="340" w:hanging="332"/>
        <w:spacing w:after="0" w:line="241" w:lineRule="auto"/>
        <w:tabs>
          <w:tab w:leader="none" w:pos="33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Mr. Bernstein is affiliated with certain investment entities of Goldman Sachs &amp; Co. that beneficially own shares of the Company. Mr. Bernstein otherwise disclaims beneficial ownership over such shares.</w:t>
      </w: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5,234,580 shares of common stock.</w:t>
      </w:r>
    </w:p>
    <w:p>
      <w:pPr>
        <w:spacing w:after="0" w:line="1" w:lineRule="exact"/>
        <w:rPr>
          <w:rFonts w:ascii="Arial" w:cs="Arial" w:eastAsia="Arial" w:hAnsi="Arial"/>
          <w:sz w:val="14"/>
          <w:szCs w:val="14"/>
          <w:color w:val="auto"/>
        </w:rPr>
      </w:pPr>
    </w:p>
    <w:p>
      <w:pPr>
        <w:ind w:left="340" w:hanging="332"/>
        <w:spacing w:after="0" w:line="241" w:lineRule="auto"/>
        <w:tabs>
          <w:tab w:leader="none" w:pos="33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Mr. Sherrill is affiliated with certain investment entities of Pamplona Capital Management LLP that beneficially own shares of the Company. Mr. Sherrill otherwise disclaims beneficial ownership over such shares.</w:t>
      </w: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6,917,159 shares of common stock. Mr. Sullivan is affiliated with Brighton Family, LLC. Mr. Sullivan otherwise disclaims beneficial ownership over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The following descriptions are summaries of the material terms of our amended and restated certificate of incorporation and amended and restated bylaws. Reference is made to the more detailed provisions of, and the descriptions are qualified in their entirety by reference to, these documents, copies of which are filed with the SEC as exhibits to the registration statement of which this prospectus is a part, and applicable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authorized capital stock consists of 1,000,000,000 shares of common stock, $0.01 per share, and 100,000,000 shares of preferred stock, par value $0.01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Common stock outstanding. </w:t>
      </w:r>
      <w:r>
        <w:rPr>
          <w:rFonts w:ascii="Arial" w:cs="Arial" w:eastAsia="Arial" w:hAnsi="Arial"/>
          <w:sz w:val="18"/>
          <w:szCs w:val="18"/>
          <w:color w:val="auto"/>
        </w:rPr>
        <w:t>As of September 30, 2021, there were 106,234,792 shares of common stock outstanding which were held of record by 81</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outstanding shares of common stock are fully paid and non-assessable.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common stock are entitled to one vote per share on all matters to be voted upon by the stockholders.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preferences that may be applicable to any outstanding preferred stock, the holders of common stock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ratably such dividends, if any, as may be declared from time to time by the board of directors out of funds legally available therefor. See “Dividend Policy.”</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liquidation, dissolution or winding up of Privia Health, the holders of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in all assets remaining after payment of liabilities, subject to prior distribution rights of preferred stock, if any, then outstanding.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holders of our common stock have no preemptive or conversion rights or other subscription rights. There are no redemption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sinking fund provisions applicable to the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board of directors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Privia Health without further action by the stockholders and may adversely affect the voting and other rights of the holders of common stock. At present, Privia Health has no plans to issue any of the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board of directors will consist of between three and eleven directors. The exact number of directors will be fixed from time to time by resolution of the board. Directors may be removed without cause by an affirmative vote of shares representing a majority of the shares then entitled to vote at an election of directors, provided that at any time that Lead Sponsors own less than 25%, no director may be removed except for cause. Any vacancy occurring on the board of directors and any newly created directorship may be filled only by a majority of the remaining directors in office.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Staggered Board</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any time when the Lead Sponsors beneficially own, in the aggregate, less than 25% of our common stock then outstanding, our board of directors will be divided into three classes serving staggered three-year terms. At each annual meeting of stockholders, directors will be elected to succeed the class of directors whose terms have expired. This classification of our board of directors could have the effect of increasing the length of time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the composition of a majority of the board of directors. In general, at least two annual meetings of stockholders will be necessary for stockholders to effect a change in a majority of the members of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Written Consents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holders of our common stock will be permitted to act by written consent without a duly called annual or special meeting if such written consent is signed by the holders having at least the minimum number of votes necessary to authorize such action. Thereafter, our amended and restated certificate of incorporation and our amended and restated bylaws will provide that holders of our common stock will not be able to act by written consent without a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special meetings of our stockholders may be called by any person or group that beneficially owns a majority of our outstanding shares of voting stock. Thereafter, our amended and restated certificate of incorporation and our amended and restated bylaws will provide that special meetings of our stockholders may be called only by the chairman of our board of directors or a majority of the directors. Consistent with this provision, our amended and restated certificate of incorporation and our amended and restated bylaws will specifically deny any power of any other person to call a special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affirmative vote of holders of at least a majority of the voting power of our outstanding shares of stock will be required to amend our amended and restated certificate of incorporation, provided that at any time when the Lead Sponsors beneficially own, in the aggregate, less than 25% of our common stock then outstanding, the provisions of our amended and restated certificate of incorporation described under “—Election and Removal of Directors,” “— Stockholder Meetings” and “—Limits on Written Consents” may be amended only by the affirmative vote of holders of at least 66.6% of the voting power of our outstanding shares of voting stock, voting together as a single class. Pursuant to our amended and restated certificate of incorporation, a special meeting of stockholders may be called only (1) by or at the direction of the board of directors pursuant to a written resolution adopted by a majority of the total number of directors that the Company would have if there were no vacancies or (2) by or at the direction of the chairman of the board or the Chief Executive Officer.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Amended and Restated Bylaws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bylaws may generally be altered, amended or repealed, and new bylaws may be adopted, with the affirmative vote of a majority of directors present at any regular or special meeting of the board of directors called for that purpose, provided that:</w:t>
      </w:r>
    </w:p>
    <w:p>
      <w:pPr>
        <w:spacing w:after="0" w:line="116" w:lineRule="exact"/>
        <w:rPr>
          <w:sz w:val="20"/>
          <w:szCs w:val="20"/>
          <w:color w:val="auto"/>
        </w:rPr>
      </w:pPr>
    </w:p>
    <w:p>
      <w:pPr>
        <w:jc w:val="both"/>
        <w:ind w:left="660" w:hanging="328"/>
        <w:spacing w:after="0" w:line="296" w:lineRule="auto"/>
        <w:tabs>
          <w:tab w:leader="none" w:pos="65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at any time when the Lead Sponsors beneficially own, in the aggregate, less than 25% of our common stock then outstanding, any alteration, amendment or repeal of, or adoption of any bylaw inconsistent with, specified provisions of the amended and restated bylaws, including those related to special and annual meetings of stockholders, action of stockholders by written consent, classification of the board of directors, nomination of directors, special meetings of directors, removal of directors, committees of the board of directors and indemnification of directors and officers, requires the affirmative vote of at least 66% of all directors in office at a meeting called for that purpose; or</w:t>
      </w:r>
    </w:p>
    <w:p>
      <w:pPr>
        <w:spacing w:after="0" w:line="107" w:lineRule="exact"/>
        <w:rPr>
          <w:rFonts w:ascii="Arial" w:cs="Arial" w:eastAsia="Arial" w:hAnsi="Arial"/>
          <w:sz w:val="16"/>
          <w:szCs w:val="16"/>
          <w:color w:val="auto"/>
        </w:rPr>
      </w:pPr>
    </w:p>
    <w:p>
      <w:pPr>
        <w:ind w:left="660" w:hanging="328"/>
        <w:spacing w:after="0" w:line="277" w:lineRule="auto"/>
        <w:tabs>
          <w:tab w:leader="none" w:pos="7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any time when the Lead Sponsors beneficially own, in the aggregate, less than 25% of our common stock then outstanding, the affirmative vote of holders of 66.6% of the voting power of our outstanding shares of voting stock,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any time when the Lead Sponsors beneficially own, in the aggregate, less than 25% of our common stock then outstanding, our amended and restated bylaws will also impose some procedural requirements on stockholders who wish to:</w:t>
      </w:r>
    </w:p>
    <w:p>
      <w:pPr>
        <w:spacing w:after="0" w:line="116"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propose any repeal or change in our amended and restated bylaws;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description of the business or nomination to be brought before the meeting and the reasons for conducting such business at the meeting;</w:t>
      </w:r>
    </w:p>
    <w:p>
      <w:pPr>
        <w:spacing w:after="0" w:line="183"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71" w:lineRule="exact"/>
        <w:rPr>
          <w:sz w:val="20"/>
          <w:szCs w:val="20"/>
          <w:color w:val="auto"/>
        </w:rPr>
      </w:pPr>
    </w:p>
    <w:p>
      <w:pPr>
        <w:jc w:val="both"/>
        <w:ind w:left="660" w:hanging="328"/>
        <w:spacing w:after="0" w:line="25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120 nor more than 180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close of business on the later of (1) the 120th day prior to the annual meeting and (2) the 10th day following the day on which we first publicly announce the date of the annual meeting; or</w:t>
      </w:r>
    </w:p>
    <w:p>
      <w:pPr>
        <w:spacing w:after="0" w:line="13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not less than 40 nor more than 60 days prior to the date of the special meeting, but in the event that less than 55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130"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amended and restated bylaws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Court of Chancery of the State of Delaware will be the sole and exclusive forum for (i) any derivative action or proceeding brought on behalf of Privia Health, (ii) any action asserting a claim of breach of fiduciary duty owed by any director, officer or other employee of Privia Health to Privia Health or Privia Health’s stockholders, (iii) any action asserting a claim arising pursuant to any provision of the Delaware General Corporation Law, or (iv) any action asserting a claim governed by the internal affairs doctrine. Any person or entity purchasing or otherwise acquiring any interest in shares of capital stock of Privia Health shall be deemed to have notice of and consented to the foregoing forum selection provisions. This forum selection provision will not apply to suits to enforce a duty or liability created by the Securities Act, the Exchange Act or any other claim for which the federal courts have exclusive jurisdiction.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we will elect to waive Section 203 of the Delaware General Corporation Law, which regulates corporate acquisitions. Thereafter, we will elect to be subject to Section 203.</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130" w:lineRule="exact"/>
        <w:rPr>
          <w:sz w:val="20"/>
          <w:szCs w:val="20"/>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4" w:lineRule="exact"/>
        <w:rPr>
          <w:sz w:val="20"/>
          <w:szCs w:val="20"/>
          <w:color w:val="auto"/>
        </w:rPr>
      </w:pPr>
    </w:p>
    <w:p>
      <w:pPr>
        <w:ind w:left="660" w:right="20" w:hanging="328"/>
        <w:spacing w:after="0" w:line="308" w:lineRule="auto"/>
        <w:tabs>
          <w:tab w:leader="none" w:pos="6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which our stockholders may otherwise deem to be in their best interests.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Some provisions of our amended and restated certificate of incorporation and amended and restated bylaws could make the following more difficult:</w:t>
      </w:r>
    </w:p>
    <w:p>
      <w:pPr>
        <w:spacing w:after="0" w:line="194"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“PRVA.”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 OF COMMON STOCK</w:t>
      </w:r>
    </w:p>
    <w:p>
      <w:pPr>
        <w:spacing w:after="0" w:line="15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is a discussion of the material U.S. federal income and estate tax consequences of the ownership and disposition of our common stock by a “non-U.S. holder.” A “non-U.S. holder” is a beneficial owner of a share of our common stock that is, for U.S. federal income tax purposes:</w:t>
      </w:r>
    </w:p>
    <w:p>
      <w:pPr>
        <w:spacing w:after="0" w:line="92"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United States subject to U.S. tax as an expatriate,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foreign corporation or any foreign organization taxable as a corporation for U.S. federal income tax purposes,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common stock, the tax treatment of a partner or beneficial owner of the entity may depend upon the status of the owner, the activities of the entity and certain determinations made at the partner or beneficial owner level. Partners and beneficial owners in partnerships or other pass-through entities that own our common stock should consult their own tax advisors as to the particular U.S. federal income and estate tax consequences applicable to them.</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does not discuss alternative minimum tax and Medicare contribution tax consequences and does not address any tax consequences arising under the laws of any state, local or foreign jurisdiction. Prospective holders are urged to consult their tax advisors with respect to the particular tax consequences to them of owning and disposing of our common stock, including the consequences under the laws of any state, local or foreign jurisdiction.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the extent that we pay dividends out of our current or accumulated earnings and profits (as determined under U.S. federal income tax principles), such dividends paid to a non-U.S. holder generally will be subject to U.S. federal withholding tax at a 30% rate, or a reduced rate specified by an applicable income tax treaty, subject to the discussion of FATCA and backup withholding taxes below. In order to obtain a reduced rate of withholding under an applicable income tax treaty, a non-U.S. holder generally will be required to provide a properly executed U.S. Internal Revenue Service (“IRS”) Form W-8BEN or IRS Form W-8BEN-E, as applicable, certifying its entitlement to benefits under the treaty. To the extent such distributions exceed our current and accumulated earnings and profits, they will constitute a return of capital, which will first reduce your basis in our common stock, but not below zero, and then will be treated as a gain from the sale of our common stock, as described below under “Gain on Disposition of Our Common Stock.”</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of backup withholding and FATCA withholding taxes below, a non-U.S. holder generally will not be subject to U.S. federal income tax on gain realized on a sale or other disposition of common stock unless:</w:t>
      </w:r>
    </w:p>
    <w:p>
      <w:pPr>
        <w:spacing w:after="0" w:line="116" w:lineRule="exact"/>
        <w:rPr>
          <w:sz w:val="20"/>
          <w:szCs w:val="20"/>
          <w:color w:val="auto"/>
        </w:rPr>
      </w:pPr>
    </w:p>
    <w:p>
      <w:pPr>
        <w:jc w:val="both"/>
        <w:ind w:left="660" w:hanging="328"/>
        <w:spacing w:after="0" w:line="311" w:lineRule="auto"/>
        <w:tabs>
          <w:tab w:leader="none" w:pos="6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(as described below), at any time within the five-year period preceding the disposition or the non-U.S. holder’s holding period, whichever period is shorter, and either (i) our common stock is not regularly traded on an established securities market prior to the beginning of the calendar year in which the sale or disposition occurs or (ii) the non-U.S. holder has owned or is deemed to have owned, at any time within the five-year period preceding the disposition or the non-U.S. holder’s holding period, whichever period is shorter, more than 5% of our common stock.</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be a United States real property holding corporation at any time that the fair market value of our “United States real property interests,” as defined in the Code and applicable Treasury Regulations, equals or exceeds 50% of the aggregate fair market value of our worldwide real property interests and our other assets used or held for use in a trade or business. We believe that we are not, and do not anticipate becoming in the foreseeable future, a United States real property holding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Information returns are required to be filed with the IRS in connection with distributions on our common stock. A non-U.S. holder may have to comply with certification procedures to establish that it is not a U.S. person in order to avoid additional information reporting and backup withholding. The certification procedures required to claim a reduced rate of withholding under a treaty will generally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Payments to certain foreign entities of dividends on common stock of a U.S. issuer are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regulations issued by the Treasury Department on December 13, 2018, which state that taxpayers may rely on the proposed regulations until final regulations are issued, this withholding tax will not apply to the gross proceeds from any sale or disposition of our common stock. An intergovernmental agreement between the United States and an applicable foreign country may modify these requirements. Non-U.S. holders should consult their tax advisors regarding the possible implications of this withholding tax on dividends on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Individual non-U.S. holders (as specifically defined for U.S. federal estate tax purposes) and entities the property of which is potentially includible in such an individual’s gross estate for U.S. federal estate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example, a trust funded by such an individual and with respect to which the individual has retained certain interests or powers) should note that the common stock will be treated as U.S. situs property subject to U.S. federal estate tax, unless an applicable estate tax treaty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Upon completion of this offering, we will have 106,234,792 shares of common stock outstanding, assuming no exercise of any options or vesting of any RSUs outstanding as of September 30, 2021. Of these shares, the 6,900,000 shares (assuming the underwriters exercise their over-allotment option in full), sold in this offering will be freely transferable without restriction or registration under the Securities Act, except for any shares purchased by one of our existing “affiliates,” as that term is defined in Rule 144 under the Securities Act, and shares purchased by our executive officers and business associates in the directed share program described below and in “Underwriting (Conflicts of Interest).” 80,409,883 shares of common stock existing prior to our initial public offering are “restricted shares” as defined in Rule 144. Restricted shares may be sold in the public market only if registered or if they qualify for an exemption from registration under Rules 144 or 701 of the Securities Act.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138"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during the four calendar weeks preceding the filing of a notice on Form 144 with respect to the sale;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completion of this offering, the holders of 74,068,064 shares of common stock (or shares underlying options to purchase common stock) or their transferees, are entitled to various rights with respect to the registration of these shares under the Securities Act (assuming the exercise of the underwriter’s option to purchase additional shares). Registration of these shares under the Securities Act would result in these shares becoming freely tradable without restriction under the Securities Act immediately upon the effectiveness of the registration, except for shares purchased by affiliates.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offering to which this prospectus relates, all of our directors, executive officers and the selling stockholders have agreed, subject to certain exceptions,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90 days after the date of this prospectus, without the prior written consent of the representatives of the underwriters. See “Underwriting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7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the selling stockholders and the underwriters named below have entered into an underwriting agreement with respect to the shares being offered by the selling stockholders. Subject to certain conditions, each underwriter has severally agreed to purchase from the selling stockholders the number of shares indicated in the following table. Goldman Sachs &amp; Co. LLC and J.P. Morgan Securities LLC are the representatives of the underwriters.</w:t>
      </w:r>
    </w:p>
    <w:p>
      <w:pPr>
        <w:spacing w:after="0" w:line="127" w:lineRule="exact"/>
        <w:rPr>
          <w:sz w:val="20"/>
          <w:szCs w:val="20"/>
          <w:color w:val="auto"/>
        </w:rPr>
      </w:pPr>
    </w:p>
    <w:p>
      <w:pPr>
        <w:ind w:left="20"/>
        <w:spacing w:after="0"/>
        <w:tabs>
          <w:tab w:leader="none" w:pos="994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Securities (USA)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Piper Sandler &amp; Co.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SVB Leerink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Truist Securities, Inc.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underwriters have an option to buy up to an additional 900,000 shares from the selling stockholders. They may exercise that option for 30 days. If any shares are purchased pursuant to this option, the underwriters will severally purchase shares in approximately the same proportion as set forth in the table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the selling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900,000 additional shares.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Paid by the Selling Stockholders</w:t>
      </w:r>
    </w:p>
    <w:p>
      <w:pPr>
        <w:spacing w:after="0" w:line="208" w:lineRule="exact"/>
        <w:rPr>
          <w:sz w:val="20"/>
          <w:szCs w:val="20"/>
          <w:color w:val="auto"/>
        </w:rPr>
      </w:pPr>
    </w:p>
    <w:p>
      <w:pPr>
        <w:ind w:left="8480"/>
        <w:spacing w:after="0"/>
        <w:tabs>
          <w:tab w:leader="none" w:pos="10080" w:val="left"/>
        </w:tabs>
        <w:rPr>
          <w:sz w:val="20"/>
          <w:szCs w:val="20"/>
          <w:color w:val="auto"/>
        </w:rPr>
      </w:pPr>
      <w:r>
        <w:rPr>
          <w:rFonts w:ascii="Arial" w:cs="Arial" w:eastAsia="Arial" w:hAnsi="Arial"/>
          <w:sz w:val="13"/>
          <w:szCs w:val="13"/>
          <w:b w:val="1"/>
          <w:bCs w:val="1"/>
          <w:color w:val="auto"/>
        </w:rPr>
        <w:t>No Exercise</w:t>
      </w:r>
      <w:r>
        <w:rPr>
          <w:sz w:val="20"/>
          <w:szCs w:val="20"/>
          <w:color w:val="auto"/>
        </w:rPr>
        <w:tab/>
      </w:r>
      <w:r>
        <w:rPr>
          <w:rFonts w:ascii="Arial" w:cs="Arial" w:eastAsia="Arial" w:hAnsi="Arial"/>
          <w:sz w:val="10"/>
          <w:szCs w:val="10"/>
          <w:b w:val="1"/>
          <w:bCs w:val="1"/>
          <w:color w:val="auto"/>
        </w:rPr>
        <w:t>Full Exercise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Any shares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3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and our officers, directors, and the selling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90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2" w:name="page183"/>
    <w:bookmarkEnd w:id="18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34" w:lineRule="exact"/>
        <w:rPr>
          <w:sz w:val="20"/>
          <w:szCs w:val="20"/>
          <w:color w:val="auto"/>
        </w:rPr>
      </w:pPr>
    </w:p>
    <w:p>
      <w:pPr>
        <w:ind w:left="340"/>
        <w:spacing w:after="0"/>
        <w:tabs>
          <w:tab w:leader="none" w:pos="7020" w:val="left"/>
        </w:tabs>
        <w:rPr>
          <w:sz w:val="20"/>
          <w:szCs w:val="20"/>
          <w:color w:val="auto"/>
        </w:rPr>
      </w:pPr>
      <w:r>
        <w:rPr>
          <w:rFonts w:ascii="Arial" w:cs="Arial" w:eastAsia="Arial" w:hAnsi="Arial"/>
          <w:sz w:val="17"/>
          <w:szCs w:val="17"/>
          <w:color w:val="auto"/>
        </w:rPr>
        <w:t>We estimate that our share of the total expenses of the offering will be approximately $</w:t>
      </w:r>
      <w:r>
        <w:rPr>
          <w:sz w:val="20"/>
          <w:szCs w:val="20"/>
          <w:color w:val="auto"/>
        </w:rPr>
        <w:tab/>
      </w:r>
      <w:r>
        <w:rPr>
          <w:rFonts w:ascii="Arial" w:cs="Arial" w:eastAsia="Arial" w:hAnsi="Arial"/>
          <w:sz w:val="13"/>
          <w:szCs w:val="13"/>
          <w:color w:val="auto"/>
        </w:rPr>
        <w:t>.</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and selling stockholders have agreed to indemnify the several underwriters against certain liabilities, including liabilities under the Securities Act of 1933.</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Silicon Valley Bank, an affiliate of SVB Leerink LLC, one of the underwriters, is administrative agent, collateral agent and a lender under the Credit Facilities.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Goldman Sachs &amp; Co. LLC indirectly holds through certain affiliated investment entities approximately 28.7% of our common stock, as of immediately prior to this offering. Accordingly, Goldman Sachs &amp; Co. LLC may be deemed to have a conflict of interest within the meaning of Rule 5121. Therefore, this offering is being made in compliance with the requirements of Rule 5121. A qualified independent underwriter is not necessary for this offering pursuant to FINRA Rule 5121(a)(1)(A). Pursuant to FINRA Rule 5121, Goldman Sachs &amp; Co. LLC will not confirm sales of our common stock to any account over which it exercises discretionary authority without the prior written approval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European Economic Area</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common shares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22"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59" w:lineRule="auto"/>
        <w:tabs>
          <w:tab w:leader="none" w:pos="65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Canada</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Switzerland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has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Dubai International Financial Centre (“DIFC”)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United Arab Emirates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9" w:lineRule="exact"/>
        <w:rPr>
          <w:rFonts w:ascii="Arial" w:cs="Arial" w:eastAsia="Arial" w:hAnsi="Arial"/>
          <w:sz w:val="18"/>
          <w:szCs w:val="18"/>
          <w:color w:val="auto"/>
        </w:rPr>
      </w:pPr>
    </w:p>
    <w:p>
      <w:pPr>
        <w:ind w:left="660" w:hanging="328"/>
        <w:spacing w:after="0" w:line="277"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and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Hong Kong</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Singapore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Japan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Bermuda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Saudi Arabia</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British Virgin Islands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China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Korea</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Malaysia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Taiwan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South Africa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96 (1) (a) the offer, transfer, sale, renunciation or delivery is to:</w:t>
      </w:r>
    </w:p>
    <w:p>
      <w:pPr>
        <w:spacing w:after="0" w:line="171"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inancial institutions recognised as such under South African law;</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(vii)any combination of the person in (i) to (vi); or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issuance of the shares of common stock offered hereby will be passed upon for Privia Health Group, Inc. by Davis Polk &amp; Wardwell LLP. Certain legal matters will be passed upon for the underwriters by Goodwin Procter LLP, New York, 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as of December 31, 2020 and December 31, 2019 and for each of the three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 information statements we have filed electronically with the SEC.</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required to file periodic reports and other information with the SEC. We also maintain an internet site at www.priviahealth.com. Our website and the information contained therein or connected thereto shall not be deemed to be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302" w:lineRule="exact"/>
        <w:rPr>
          <w:sz w:val="20"/>
          <w:szCs w:val="20"/>
          <w:color w:val="auto"/>
        </w:rPr>
      </w:pPr>
    </w:p>
    <w:p>
      <w:pPr>
        <w:jc w:val="right"/>
        <w:ind w:right="2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Privia Health Group, Inc.</w:t>
      </w:r>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Report of Independent Registered Public Accounting Firm</w:t>
        </w:r>
      </w:hyperlink>
    </w:p>
    <w:p>
      <w:pPr>
        <w:spacing w:after="0" w:line="76" w:lineRule="exact"/>
        <w:rPr>
          <w:sz w:val="20"/>
          <w:szCs w:val="20"/>
          <w:color w:val="auto"/>
        </w:rPr>
      </w:pPr>
    </w:p>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Consolidated Balance Sheets</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Consolidated Statements of Operations</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Consolidated Statements of Stockholders’ Equity</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Consolidated Statements of Cash Flows</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Notes to Consolidated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Consolidated Financial Statements of Privia Health Group, Inc.</w:t>
      </w:r>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w:anchor="page223">
        <w:r>
          <w:rPr>
            <w:rFonts w:ascii="Arial" w:cs="Arial" w:eastAsia="Arial" w:hAnsi="Arial"/>
            <w:sz w:val="18"/>
            <w:szCs w:val="18"/>
            <w:u w:val="single" w:color="auto"/>
            <w:color w:val="0000FF"/>
          </w:rPr>
          <w:t>Condensed Consolidated Balance Sheets</w:t>
        </w:r>
      </w:hyperlink>
    </w:p>
    <w:p>
      <w:pPr>
        <w:spacing w:after="0" w:line="117" w:lineRule="exact"/>
        <w:rPr>
          <w:sz w:val="20"/>
          <w:szCs w:val="20"/>
          <w:color w:val="auto"/>
        </w:rPr>
      </w:pPr>
    </w:p>
    <w:p>
      <w:pPr>
        <w:ind w:left="20"/>
        <w:spacing w:after="0"/>
        <w:rPr>
          <w:rFonts w:ascii="Arial" w:cs="Arial" w:eastAsia="Arial" w:hAnsi="Arial"/>
          <w:sz w:val="18"/>
          <w:szCs w:val="18"/>
          <w:u w:val="single" w:color="auto"/>
          <w:color w:val="0000FF"/>
        </w:rPr>
      </w:pPr>
      <w:hyperlink w:anchor="page223">
        <w:r>
          <w:rPr>
            <w:rFonts w:ascii="Arial" w:cs="Arial" w:eastAsia="Arial" w:hAnsi="Arial"/>
            <w:sz w:val="18"/>
            <w:szCs w:val="18"/>
            <w:u w:val="single" w:color="auto"/>
            <w:color w:val="0000FF"/>
          </w:rPr>
          <w:t>Condensed Consolidated Statements of Operations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24">
        <w:r>
          <w:rPr>
            <w:rFonts w:ascii="Arial" w:cs="Arial" w:eastAsia="Arial" w:hAnsi="Arial"/>
            <w:sz w:val="18"/>
            <w:szCs w:val="18"/>
            <w:u w:val="single" w:color="auto"/>
            <w:color w:val="0000FF"/>
          </w:rPr>
          <w:t>Condensed Consolidated Statements of Stockholders’ Equity</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25">
        <w:r>
          <w:rPr>
            <w:rFonts w:ascii="Arial" w:cs="Arial" w:eastAsia="Arial" w:hAnsi="Arial"/>
            <w:sz w:val="18"/>
            <w:szCs w:val="18"/>
            <w:u w:val="single" w:color="auto"/>
            <w:color w:val="0000FF"/>
          </w:rPr>
          <w:t>Condensed Consolidated Statements of Cash Flows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Notes to Condensed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23495</wp:posOffset>
            </wp:positionV>
            <wp:extent cx="4629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94" w:lineRule="exact"/>
        <w:rPr>
          <w:sz w:val="20"/>
          <w:szCs w:val="20"/>
          <w:color w:val="auto"/>
        </w:rPr>
      </w:pPr>
    </w:p>
    <w:p>
      <w:pPr>
        <w:jc w:val="right"/>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F-2</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F-3</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F-4</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F-5</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F-6</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F-7</w:t>
        </w:r>
      </w:hyperlink>
    </w:p>
    <w:p>
      <w:pPr>
        <w:spacing w:after="0" w:line="200" w:lineRule="exact"/>
        <w:rPr>
          <w:sz w:val="20"/>
          <w:szCs w:val="20"/>
          <w:color w:val="auto"/>
        </w:rPr>
      </w:pPr>
    </w:p>
    <w:p>
      <w:pPr>
        <w:spacing w:after="0" w:line="363" w:lineRule="exact"/>
        <w:rPr>
          <w:sz w:val="20"/>
          <w:szCs w:val="20"/>
          <w:color w:val="auto"/>
        </w:rPr>
      </w:pPr>
    </w:p>
    <w:p>
      <w:pPr>
        <w:ind w:left="160"/>
        <w:spacing w:after="0"/>
        <w:rPr>
          <w:rFonts w:ascii="Arial" w:cs="Arial" w:eastAsia="Arial" w:hAnsi="Arial"/>
          <w:sz w:val="16"/>
          <w:szCs w:val="16"/>
          <w:u w:val="single" w:color="auto"/>
          <w:color w:val="0000FF"/>
        </w:rPr>
      </w:pPr>
      <w:hyperlink w:anchor="page223">
        <w:r>
          <w:rPr>
            <w:rFonts w:ascii="Arial" w:cs="Arial" w:eastAsia="Arial" w:hAnsi="Arial"/>
            <w:sz w:val="16"/>
            <w:szCs w:val="16"/>
            <w:u w:val="single" w:color="auto"/>
            <w:color w:val="0000FF"/>
          </w:rPr>
          <w:t>F-33</w:t>
        </w:r>
      </w:hyperlink>
    </w:p>
    <w:p>
      <w:pPr>
        <w:spacing w:after="0" w:line="140" w:lineRule="exact"/>
        <w:rPr>
          <w:sz w:val="20"/>
          <w:szCs w:val="20"/>
          <w:color w:val="auto"/>
        </w:rPr>
      </w:pPr>
    </w:p>
    <w:p>
      <w:pPr>
        <w:ind w:left="160"/>
        <w:spacing w:after="0"/>
        <w:rPr>
          <w:rFonts w:ascii="Arial" w:cs="Arial" w:eastAsia="Arial" w:hAnsi="Arial"/>
          <w:sz w:val="16"/>
          <w:szCs w:val="16"/>
          <w:u w:val="single" w:color="auto"/>
          <w:color w:val="0000FF"/>
        </w:rPr>
      </w:pPr>
      <w:hyperlink w:anchor="page223">
        <w:r>
          <w:rPr>
            <w:rFonts w:ascii="Arial" w:cs="Arial" w:eastAsia="Arial" w:hAnsi="Arial"/>
            <w:sz w:val="16"/>
            <w:szCs w:val="16"/>
            <w:u w:val="single" w:color="auto"/>
            <w:color w:val="0000FF"/>
          </w:rPr>
          <w:t>F-34</w:t>
        </w:r>
      </w:hyperlink>
    </w:p>
    <w:p>
      <w:pPr>
        <w:spacing w:after="0" w:line="140" w:lineRule="exact"/>
        <w:rPr>
          <w:sz w:val="20"/>
          <w:szCs w:val="20"/>
          <w:color w:val="auto"/>
        </w:rPr>
      </w:pPr>
    </w:p>
    <w:p>
      <w:pPr>
        <w:ind w:left="160"/>
        <w:spacing w:after="0"/>
        <w:rPr>
          <w:rFonts w:ascii="Arial" w:cs="Arial" w:eastAsia="Arial" w:hAnsi="Arial"/>
          <w:sz w:val="16"/>
          <w:szCs w:val="16"/>
          <w:u w:val="single" w:color="auto"/>
          <w:color w:val="0000FF"/>
        </w:rPr>
      </w:pPr>
      <w:hyperlink w:anchor="page224">
        <w:r>
          <w:rPr>
            <w:rFonts w:ascii="Arial" w:cs="Arial" w:eastAsia="Arial" w:hAnsi="Arial"/>
            <w:sz w:val="16"/>
            <w:szCs w:val="16"/>
            <w:u w:val="single" w:color="auto"/>
            <w:color w:val="0000FF"/>
          </w:rPr>
          <w:t>F-35</w:t>
        </w:r>
      </w:hyperlink>
    </w:p>
    <w:p>
      <w:pPr>
        <w:spacing w:after="0" w:line="140" w:lineRule="exact"/>
        <w:rPr>
          <w:sz w:val="20"/>
          <w:szCs w:val="20"/>
          <w:color w:val="auto"/>
        </w:rPr>
      </w:pPr>
    </w:p>
    <w:p>
      <w:pPr>
        <w:ind w:left="160"/>
        <w:spacing w:after="0"/>
        <w:rPr>
          <w:rFonts w:ascii="Arial" w:cs="Arial" w:eastAsia="Arial" w:hAnsi="Arial"/>
          <w:sz w:val="16"/>
          <w:szCs w:val="16"/>
          <w:u w:val="single" w:color="auto"/>
          <w:color w:val="0000FF"/>
        </w:rPr>
      </w:pPr>
      <w:hyperlink w:anchor="page225">
        <w:r>
          <w:rPr>
            <w:rFonts w:ascii="Arial" w:cs="Arial" w:eastAsia="Arial" w:hAnsi="Arial"/>
            <w:sz w:val="16"/>
            <w:szCs w:val="16"/>
            <w:u w:val="single" w:color="auto"/>
            <w:color w:val="0000FF"/>
          </w:rPr>
          <w:t>F-36</w:t>
        </w:r>
      </w:hyperlink>
    </w:p>
    <w:p>
      <w:pPr>
        <w:spacing w:after="0" w:line="140" w:lineRule="exact"/>
        <w:rPr>
          <w:sz w:val="20"/>
          <w:szCs w:val="20"/>
          <w:color w:val="auto"/>
        </w:rPr>
      </w:pPr>
    </w:p>
    <w:p>
      <w:pPr>
        <w:ind w:left="160"/>
        <w:spacing w:after="0"/>
        <w:rPr>
          <w:rFonts w:ascii="Arial" w:cs="Arial" w:eastAsia="Arial" w:hAnsi="Arial"/>
          <w:sz w:val="16"/>
          <w:szCs w:val="16"/>
          <w:u w:val="single" w:color="auto"/>
          <w:color w:val="0000FF"/>
        </w:rPr>
      </w:pPr>
      <w:hyperlink w:anchor="page226">
        <w:r>
          <w:rPr>
            <w:rFonts w:ascii="Arial" w:cs="Arial" w:eastAsia="Arial" w:hAnsi="Arial"/>
            <w:sz w:val="16"/>
            <w:szCs w:val="16"/>
            <w:u w:val="single" w:color="auto"/>
            <w:color w:val="0000FF"/>
          </w:rPr>
          <w:t>F-37</w:t>
        </w:r>
      </w:hyperlink>
    </w:p>
    <w:p>
      <w:pPr>
        <w:sectPr>
          <w:pgSz w:w="11900" w:h="16838" w:orient="portrait"/>
          <w:cols w:equalWidth="0" w:num="2">
            <w:col w:w="9980" w:space="720"/>
            <w:col w:w="500"/>
          </w:cols>
          <w:pgMar w:left="340" w:top="1440" w:right="359" w:bottom="1440" w:gutter="0" w:footer="0" w:header="0"/>
        </w:sectPr>
      </w:pPr>
    </w:p>
    <w:bookmarkStart w:id="191" w:name="page192"/>
    <w:bookmarkEnd w:id="191"/>
    <w:p>
      <w:pPr>
        <w:spacing w:after="0" w:line="302" w:lineRule="exact"/>
        <w:rPr>
          <w:sz w:val="20"/>
          <w:szCs w:val="20"/>
          <w:color w:val="auto"/>
        </w:rPr>
      </w:pPr>
    </w:p>
    <w:p>
      <w:pPr>
        <w:ind w:left="340" w:right="3360" w:firstLine="3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Privia Health Group, Inc.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audited the accompanying consolidated balance sheets of Privia Health Group, Inc. and its subsidiaries (the “Company”) as of December 31, 2020 and 2019, and the related consolidated statements of operations, of stockholders’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revenues from contracts with customers as of January 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3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77,339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190,084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129,599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118,663</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non-current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140,606</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27,939</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Physician and practice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 to related parties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Current portion of note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146,938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115,220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Notes payable to related parties</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payable, net of current portion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non-current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47,529</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185,317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162,749</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40" w:type="dxa"/>
            <w:vAlign w:val="bottom"/>
          </w:tcPr>
          <w:p>
            <w:pPr>
              <w:ind w:left="240"/>
              <w:spacing w:after="0" w:line="176" w:lineRule="exact"/>
              <w:rPr>
                <w:sz w:val="20"/>
                <w:szCs w:val="20"/>
                <w:color w:val="auto"/>
              </w:rPr>
            </w:pPr>
            <w:r>
              <w:rPr>
                <w:rFonts w:ascii="Arial" w:cs="Arial" w:eastAsia="Arial" w:hAnsi="Arial"/>
                <w:sz w:val="18"/>
                <w:szCs w:val="18"/>
                <w:color w:val="auto"/>
                <w:w w:val="89"/>
              </w:rPr>
              <w:t>Common stock, 0.01 par value, 150,000,000 shares authorized; 95,985,817 and 95,931,549 shares issued and</w:t>
            </w: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Arial" w:cs="Arial" w:eastAsia="Arial" w:hAnsi="Arial"/>
                <w:sz w:val="18"/>
                <w:szCs w:val="18"/>
                <w:color w:val="auto"/>
              </w:rPr>
              <w:t>outstanding at December 31, 2020 and 2019, respectively</w:t>
            </w:r>
          </w:p>
        </w:tc>
        <w:tc>
          <w:tcPr>
            <w:tcW w:w="3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160,375</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(51,122)</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Privia Health Group, Inc. stockholders’ equity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328,969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270,205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3" w:name="page194"/>
    <w:bookmarkEnd w:id="19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657,609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and practice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527,923</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Cost of platform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655,454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(benefit from) provision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Privia Health Group,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Net income (loss) per share attributable to Privia Health Group, Inc. stockholders –</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 and 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95,950,062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95,931,549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95,880,506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Stockholders’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1"/>
                <w:szCs w:val="11"/>
                <w:color w:val="auto"/>
              </w:rPr>
            </w:pPr>
          </w:p>
        </w:tc>
        <w:tc>
          <w:tcPr>
            <w:tcW w:w="76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Privia Health</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Stock Shares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Group, Inc.</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6"/>
                <w:szCs w:val="16"/>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95,878,470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81,682</w:t>
            </w: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Merger of related party</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exercise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95,931,549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146,904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86,040</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95,931,549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107,456</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Stock option exercise</w:t>
            </w:r>
          </w:p>
        </w:tc>
        <w:tc>
          <w:tcPr>
            <w:tcW w:w="960" w:type="dxa"/>
            <w:vAlign w:val="bottom"/>
          </w:tcPr>
          <w:p>
            <w:pPr>
              <w:jc w:val="right"/>
              <w:spacing w:after="0"/>
              <w:rPr>
                <w:sz w:val="20"/>
                <w:szCs w:val="20"/>
                <w:color w:val="auto"/>
              </w:rPr>
            </w:pPr>
            <w:r>
              <w:rPr>
                <w:rFonts w:ascii="Arial" w:cs="Arial" w:eastAsia="Arial" w:hAnsi="Arial"/>
                <w:sz w:val="18"/>
                <w:szCs w:val="18"/>
                <w:color w:val="auto"/>
              </w:rPr>
              <w:t>54,268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95,985,817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80" w:type="dxa"/>
            <w:vAlign w:val="bottom"/>
          </w:tcPr>
          <w:p>
            <w:pPr>
              <w:ind w:left="64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30,904</w:t>
            </w: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7,945</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6"/>
        </w:trPr>
        <w:tc>
          <w:tcPr>
            <w:tcW w:w="636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186"/>
        </w:trPr>
        <w:tc>
          <w:tcPr>
            <w:tcW w:w="6360" w:type="dxa"/>
            <w:vAlign w:val="bottom"/>
          </w:tcPr>
          <w:p>
            <w:pPr>
              <w:ind w:left="360"/>
              <w:spacing w:after="0"/>
              <w:rPr>
                <w:sz w:val="20"/>
                <w:szCs w:val="20"/>
                <w:color w:val="auto"/>
              </w:rPr>
            </w:pPr>
            <w:r>
              <w:rPr>
                <w:rFonts w:ascii="Arial" w:cs="Arial" w:eastAsia="Arial" w:hAnsi="Arial"/>
                <w:sz w:val="14"/>
                <w:szCs w:val="14"/>
                <w:color w:val="auto"/>
              </w:rPr>
              <w:t>Deferred tax (benefit) expense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(7,834)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(21,779)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186"/>
        </w:trPr>
        <w:tc>
          <w:tcPr>
            <w:tcW w:w="6360" w:type="dxa"/>
            <w:vAlign w:val="bottom"/>
          </w:tcPr>
          <w:p>
            <w:pPr>
              <w:ind w:left="680"/>
              <w:spacing w:after="0"/>
              <w:rPr>
                <w:sz w:val="20"/>
                <w:szCs w:val="20"/>
                <w:color w:val="auto"/>
              </w:rPr>
            </w:pPr>
            <w:r>
              <w:rPr>
                <w:rFonts w:ascii="Arial" w:cs="Arial" w:eastAsia="Arial" w:hAnsi="Arial"/>
                <w:sz w:val="14"/>
                <w:szCs w:val="14"/>
                <w:color w:val="auto"/>
              </w:rPr>
              <w:t>Other non-current assets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6"/>
        </w:trPr>
        <w:tc>
          <w:tcPr>
            <w:tcW w:w="6360" w:type="dxa"/>
            <w:vAlign w:val="bottom"/>
          </w:tcPr>
          <w:p>
            <w:pPr>
              <w:ind w:left="680"/>
              <w:spacing w:after="0"/>
              <w:rPr>
                <w:sz w:val="20"/>
                <w:szCs w:val="20"/>
                <w:color w:val="auto"/>
              </w:rPr>
            </w:pPr>
            <w:r>
              <w:rPr>
                <w:rFonts w:ascii="Arial" w:cs="Arial" w:eastAsia="Arial" w:hAnsi="Arial"/>
                <w:sz w:val="14"/>
                <w:szCs w:val="14"/>
                <w:color w:val="auto"/>
              </w:rPr>
              <w:t>Accrued expenses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5,723</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Physician and practice liability</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86"/>
        </w:trPr>
        <w:tc>
          <w:tcPr>
            <w:tcW w:w="6360" w:type="dxa"/>
            <w:vAlign w:val="bottom"/>
          </w:tcPr>
          <w:p>
            <w:pPr>
              <w:ind w:left="680"/>
              <w:spacing w:after="0"/>
              <w:rPr>
                <w:sz w:val="20"/>
                <w:szCs w:val="20"/>
                <w:color w:val="auto"/>
              </w:rPr>
            </w:pPr>
            <w:r>
              <w:rPr>
                <w:rFonts w:ascii="Arial" w:cs="Arial" w:eastAsia="Arial" w:hAnsi="Arial"/>
                <w:sz w:val="14"/>
                <w:szCs w:val="14"/>
                <w:color w:val="auto"/>
              </w:rPr>
              <w:t>Other current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Due to related parties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long-term liabilities</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rPr>
                <w:sz w:val="20"/>
                <w:szCs w:val="20"/>
                <w:color w:val="auto"/>
              </w:rPr>
            </w:pPr>
            <w:r>
              <w:rPr>
                <w:rFonts w:ascii="Arial" w:cs="Arial" w:eastAsia="Arial" w:hAnsi="Arial"/>
                <w:sz w:val="14"/>
                <w:szCs w:val="14"/>
                <w:color w:val="auto"/>
              </w:rPr>
              <w:t>Cash acquired in merger</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(5,709)</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79"/>
        </w:trPr>
        <w:tc>
          <w:tcPr>
            <w:tcW w:w="63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52"/>
        </w:trPr>
        <w:tc>
          <w:tcPr>
            <w:tcW w:w="6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Repayment of note payable to related party</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note payable to related party</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15,250</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Repayment of note payable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note payable</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revolving loan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Repayment of revolving loan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15,356</w:t>
            </w:r>
          </w:p>
        </w:tc>
        <w:tc>
          <w:tcPr>
            <w:tcW w:w="0" w:type="dxa"/>
            <w:vAlign w:val="bottom"/>
          </w:tcPr>
          <w:p>
            <w:pPr>
              <w:spacing w:after="0"/>
              <w:rPr>
                <w:sz w:val="1"/>
                <w:szCs w:val="1"/>
                <w:color w:val="auto"/>
              </w:rPr>
            </w:pPr>
          </w:p>
        </w:tc>
      </w:tr>
      <w:tr>
        <w:trPr>
          <w:trHeight w:val="179"/>
        </w:trPr>
        <w:tc>
          <w:tcPr>
            <w:tcW w:w="636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37,744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20,440</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46,889</w:t>
            </w:r>
          </w:p>
        </w:tc>
        <w:tc>
          <w:tcPr>
            <w:tcW w:w="100" w:type="dxa"/>
            <w:vAlign w:val="bottom"/>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39,108</w:t>
            </w:r>
          </w:p>
        </w:tc>
        <w:tc>
          <w:tcPr>
            <w:tcW w:w="100" w:type="dxa"/>
            <w:vAlign w:val="bottom"/>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18,668</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84,633</w:t>
            </w:r>
          </w:p>
        </w:tc>
        <w:tc>
          <w:tcPr>
            <w:tcW w:w="100" w:type="dxa"/>
            <w:vAlign w:val="bottom"/>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46,889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39,108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8"/>
                <w:szCs w:val="18"/>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Income taxes paid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3"/>
                <w:szCs w:val="13"/>
                <w:color w:val="auto"/>
              </w:rPr>
            </w:pPr>
          </w:p>
        </w:tc>
        <w:tc>
          <w:tcPr>
            <w:tcW w:w="96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316</w:t>
            </w:r>
          </w:p>
        </w:tc>
        <w:tc>
          <w:tcPr>
            <w:tcW w:w="100" w:type="dxa"/>
            <w:vAlign w:val="bottom"/>
          </w:tcPr>
          <w:p>
            <w:pPr>
              <w:spacing w:after="0"/>
              <w:rPr>
                <w:sz w:val="13"/>
                <w:szCs w:val="13"/>
                <w:color w:val="auto"/>
              </w:rPr>
            </w:pPr>
          </w:p>
        </w:tc>
        <w:tc>
          <w:tcPr>
            <w:tcW w:w="360" w:type="dxa"/>
            <w:vAlign w:val="bottom"/>
          </w:tcPr>
          <w:p>
            <w:pPr>
              <w:jc w:val="right"/>
              <w:ind w:right="208"/>
              <w:spacing w:after="0" w:line="159"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2"/>
        </w:trPr>
        <w:tc>
          <w:tcPr>
            <w:tcW w:w="6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of note payable to related parties to capital contribution.</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w w:val="90"/>
              </w:rPr>
              <w:t>13,264</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800" w:firstLine="8"/>
        <w:spacing w:after="0" w:line="440" w:lineRule="auto"/>
        <w:tabs>
          <w:tab w:leader="none" w:pos="648"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Privia Health Group, Inc. (“we”, “our” the “Company”) a wholly owned subsidiary of Brighton Health Group Holdings, LLC (“BHG Holdings”) (formerly MC Acquisition Holdings I, LLC, HoldCo), became the sole shareholder of PH Group Holdings Corp. (“PH Holdings”) (formerly Brighton Health Services Holding Corporation) effective August 11, 2016.</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PH Holdings was incorporated on January 17, 2014 as a holding company for Privia Health, LLC (“Privia”). On August 29, 2014, PH Holdings, acquired 100% of the outstanding common units and voting interest of Privia (the “Privia Acquisition”). We are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value-based care (“VBC”).</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25, 2015, the Company acquired 75.5% of Complete MD Solutions LLC. Complete MD Solutions LLC provides administrative services to physician groups.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Privia Management Services Organization (“PMSO”) is a majority owned subsidiary of the Company started with a large health system in Florida during 2019 to jointly bring independent physicians together into a physician practice management and population health group. The Company owns 51% and consolidates PMSO within the consolidated financial statements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the same operational and financial model in each market. As of December 31, 2020, Privia operates in six markets: 1) the Mid-Atlantic Region (states of Virginia, Maryland and the District of Columbia); 2) the state of Georgia; 3) the Gulf Coast Region (Houston, Texas); 4) North Texas (Dallas/Fort Worth, Texas); 5) Central Florida and 6) the state of Tennessee.</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Medical groups are formed in each market with the primary purpose to operate as a physician group practice with healthcare services being furnished through physician members (“Privia Physicians”) and non-physician clinicians (together, “Privia Providers”) supervised by Privia Physicians. Privia Physicians typically enter into a Physician Member Services Agreement (“PMSA”) with a medical group, which requires the Privia Physician to provide healthcare services through and on behalf of the medical group. In conjunction with the PMSA, the medical group enters a Support Services Agreement (“SSA”) with the Privia Physician’s historic practice entity (“Affiliated Practice”) whereby the Affiliated Practice provides certain subcontracted services to the medical group to allow the medical group to operate at the practice location. The Company does not own any Affiliated Practice, nor does the Company have risk of loss related to the Affiliated Practices, rather they are typically owned by certain Privia Physicians. The Company’s ownership varies by state, creating two types of medical groups: Owned Medical Groups and Non-Owned Medical Groups. The Company majority owns Owned Medical Groups in those markets where medical group ownership is allowed with Privia Physicians owning, in the aggregate, the minority interest in the medical group. In other markets where state regulations do not allow the Company to own the medical group, such Non-Owned Medical Groups are 100% owned by the Privia Physicians. Owned Medical Groups are consolidated into the Company, while Non-Owned Medical Groups are not. For Non-Owned Medical Groups, please refer to the discussion of “Variable Interest Entities” for further discussion.</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forms local management companies to provide administrative and management services (“MSOs”) to the medical groups through a Management Services Agreement (“MSA”) in each market. The Company owns 100% of all MSOs, except two where the Company is the at least the majority owner.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Within each market, Privia has three different sources of revenue: 1) Fee-for-service (“FFS”) revenue consisting of: a) FFS-patient care revenue which is primarily earned through Owned Medical Groups and b) FFS-administrative services revenue which is primarily earned by owned MSOs from Non-Owned Medical Groups through the MSAs; 2) VBC revenue consisting of: a) care management fees (“PMPM”) and b) shared savings both of which are primarily earned through Company-owned Accountable Care Organizations (“ACOs”) in each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438" w:lineRule="auto"/>
        <w:rPr>
          <w:sz w:val="20"/>
          <w:szCs w:val="20"/>
          <w:color w:val="auto"/>
        </w:rPr>
      </w:pPr>
      <w:r>
        <w:rPr>
          <w:rFonts w:ascii="Arial" w:cs="Arial" w:eastAsia="Arial" w:hAnsi="Arial"/>
          <w:sz w:val="18"/>
          <w:szCs w:val="18"/>
          <w:color w:val="auto"/>
        </w:rPr>
        <w:t xml:space="preserve">and 3) Other revenue which is earned from services provided to patients of both Owned and Non-Owned Medical Groups and CARES Act funds received.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financial statements are prepared in accordance with United States generally accepted accounting principles (“GAAP”) and include the accounts of the Company and its subsidiaries. Amounts shown on the consolidated statements of operations within the operating expense categories of physician and practice expense, cost of platform, selling and marketing, and general and administrative are recorded exclusive of depreciation and amortization.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are eliminated in consolidation.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w:t>
      </w:r>
    </w:p>
    <w:p>
      <w:pPr>
        <w:spacing w:after="0" w:line="2" w:lineRule="exact"/>
        <w:rPr>
          <w:sz w:val="20"/>
          <w:szCs w:val="20"/>
          <w:color w:val="auto"/>
        </w:rPr>
      </w:pPr>
    </w:p>
    <w:p>
      <w:pPr>
        <w:jc w:val="both"/>
        <w:ind w:firstLine="8"/>
        <w:spacing w:after="0" w:line="255" w:lineRule="auto"/>
        <w:tabs>
          <w:tab w:leader="none" w:pos="2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3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Company evaluated its relationship with the Non-Owned Medical Groups and their Affiliated Practices as well as its relationship with Affiliated Practices associated with Owned Medical Groups to determine if any of these entities should be subject to consolidation. The Company does not have ownership interest in any Affiliated Practices; nor does the Company have an ownership in Non-Owned Medical Groups. The PMSA and SSA entered by Non-Owned Medical Groups with their Privia Physician members and the Affiliated Practices are not contractual relationships within Privia’s legal structure. The only contractual relationship between Privia and Non-Owned Medical Groups is established through the MSA. Management has determined, based on the provisions of the MSAs between the Company and Non-Owned Medical Groups, and after considering the requirements of Accounting Standards Codification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An Affiliated Practice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2020, 2019 and 2018. Each time that it enters into a new service agreement or enters into a material amendment to an existing service agreement, the Company considers whether the terms of that agreement or amendment would change the elements it considers in accordance with the VIE guidance.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liabilities, revenue, expenses, and related disclosure. On an on-going basis, we evaluate significant estimates and assumptions, including, but not limited to, revenue recognition, share-based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determined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that the Company operates in and reports as a single operating segment, and therefore one reporting segment – Privia Health Group, Inc. Refer to Note 15 “Segment Financial Information” for additional information concerning the Company’s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capitalizes within other assets certain legal, accounting and other third-party fees that are directly related to the Company’s in-process equity financings, including the planned initial public offering,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As of December 31, 2020, deferred offering costs capitalized was $1.1 million. There were no deferred offering costs capitalized as of December 31,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Aid, Relief and Economic Stimulus Act (“CARES Act”)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current COVID-19 pandemic had an impact on our results of operations, cash flow and financial position for the period ended and as of December 31, 2020, as we experienced lower volumes than anticipated and shifts in the mix of services provided after the onset of the pandemic in the United States. We are closely monitoring the impact of the pandemic on all aspects of our business, including impacts to employees, customers, patients, suppliers and vendors.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To date, we have seen shifts in demand and mix of services, changes in referral patterns, and an increase in usage and reliance on our technology infrastructure, among other changes.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operations and the issues caused by the coronavirus pandemic. The following are significant economic impacts for Privia and its subsidiaries as a result of specific provisions of the CARES Act:</w:t>
      </w:r>
    </w:p>
    <w:p>
      <w:pPr>
        <w:spacing w:after="0" w:line="116" w:lineRule="exact"/>
        <w:rPr>
          <w:sz w:val="20"/>
          <w:szCs w:val="20"/>
          <w:color w:val="auto"/>
        </w:rPr>
      </w:pPr>
    </w:p>
    <w:p>
      <w:pPr>
        <w:ind w:left="660" w:hanging="328"/>
        <w:spacing w:after="0" w:line="308" w:lineRule="auto"/>
        <w:tabs>
          <w:tab w:leader="none" w:pos="6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portion of the CARES Act provides $100 billion (increased to $178 billion pursuant to subsequent legislation) from the Public Health and Social Services Emergency Fund (“Relief Fund”) to certain eligible healthcare providers on the front lines of the coronavirus response.</w:t>
      </w:r>
    </w:p>
    <w:p>
      <w:pPr>
        <w:spacing w:after="0" w:line="92"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received $9.1 million in April 2020, $4.1 million in June 2020 and $0.1 million in December 2020 related to these grants for a total of $13.3 million in grant funds received. Upon accepting the grant, the Company agreed to various terms and conditions, including that the money will be used “only for health care related expenses or lost revenues that are attributable to coronavirus” and that the Company will comply with HHS reporting requirements. The guidance to date is general and broad but does provide some examples of health care related expenses and lost revenue, such as equipment and supplies, workforce training, reporting COVID-19 test results, securing separate facilities for COVID-19 patients and acquiring additional resources to expand or preserve care delivery.</w:t>
      </w:r>
    </w:p>
    <w:p>
      <w:pPr>
        <w:spacing w:after="0" w:line="123"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believes it is in compliance with the various terms and conditions outlined by HHS, and intends to maintain compliance with these specific conditions.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elected to defer its portion of Social Security taxes in 2020, which may be repaid over two years as follows: 50% by the end of 2021 and 50% by the end of 2022. Approximately $1.8 million is accrued, in accrued expenses on the balance sheet, as of December 31, 2020 related to this deferral as the Company currently intends to repay by the end of 2021.</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27, 2020, a second COVID-19 relief bill, The Consolidated Appropriations Act, 2021, was signed into law. Pursuant to this bill, HHS clarified how an entity should calculate lost revenues for purposes of the Provider Relief Funds under the CARES Act. Entities may choose to apply Provider Relief Fund payments toward lost revenue (i) using the difference between 2019 and 2020 actual patient care revenue; (ii) using the difference between 2020 budgeted and 2020 actual patient care revenue; or (iii) using any reasonable method of estimating revenue. Entities selecting the latter option face an increased likelihood of an audit.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is no U.S. GAAP that covers accounting for such government “grants” to for-profit entities. As a result, the Company analogized to International Accounting Standard 20 – Accounting for Government Grants and Disclosures (“IAS 20”). Under IAS 20, once it is reasonably assured that the entity will comply with the conditions of the grant, the grant money should be recognized on a systematic basis over the periods in which the entity recognizes the related expenses or losses.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CARES Act funds received have been fully recognized as other revenue through December 31, 2020. Other revenue is a component of total revenue on the statement of operations. However, the rules concerning utilization of the funds continue to evolve and we will continue to comply with those applicable to us, subsequent to year end.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unrestricted, liquid financial instruments purchased with original maturity dates of three months or less to be cash equivalents. Cash equivalents are stated at cost which approximates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Substantially all of the Company’s accounts receivable relate to providing health care services to patients whose costs are primarily paid by federal and state governmental authorities or commercial insurance companies. The Company reports accounts receivable at an amount equal to the consideration the Company expects to receive in exchange for providing healthcare services to its patients, which is estimated using historical reimbursement rates, and an analysis of past experience to estimate potential adjustments.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writes-off receivables when they are deemed uncollectible because of circumstances that affect the ability of payers and self-pay patients to make payments as they occur. While write-offs of customer accounts have historically been within our expectations and the provisions established, management cannot guarantee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write-off experience will be consistent with historical experience, which could result in material differences when compared to the allowance for doubtful accounts and related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unearned revenue, which is a contract liability, when it has an obligation to provide services and payment is received in advance of performance of those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Property and equipment consist of furniture and fixtures, leasehold improvements, and computer hardware and software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property and equipment. Property and equipment is reviewed for impairment whenever events or changes in circumstances indicate that the carrying amount of an asset may not be recoverable. Property and equipment consisting of leasehold improvements, furniture, computers and office equipment, purchased in connection with the Privia Acquisition was recorded at fair value at the acquisition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development projects. Costs incurred in the preliminary stages of development activities and post implementation activities are expensed in the period incurred and included in cost of platform expense in the consolidated statements of operations. The Company also capitalizes costs related to specific upgrades and enhancements when it is probable the expenditures will result in additional functionality. The Company records capitalized software development costs in property and equipment, net. Capitalized internal-use software costs are amortized on a straight-line basis over the software’s estimated useful life.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can be recognized in loss from operations when estimated undiscounted future cash flows expected to result from the use of an asset group are less than its carrying amount. The impairment loss is based on the excess of the carrying value of the impaired asset group over its fair value, determined based on discounted cash flows. The Company did not record any impairment losses on long-lived assets during the years ended December 31, 2020 or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Goodwill represents the excess of the aggregate purchase price over the estimated fair value of net assets acquired in accordance with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805”). In accordance with ASC Topic 350,</w:t>
      </w:r>
      <w:r>
        <w:rPr>
          <w:rFonts w:ascii="Arial" w:cs="Arial" w:eastAsia="Arial" w:hAnsi="Arial"/>
          <w:sz w:val="17"/>
          <w:szCs w:val="17"/>
          <w:i w:val="1"/>
          <w:iCs w:val="1"/>
          <w:color w:val="auto"/>
        </w:rPr>
        <w:t xml:space="preserve"> Intangibles – Goodwill and Other </w:t>
      </w:r>
      <w:r>
        <w:rPr>
          <w:rFonts w:ascii="Arial" w:cs="Arial" w:eastAsia="Arial" w:hAnsi="Arial"/>
          <w:sz w:val="17"/>
          <w:szCs w:val="17"/>
          <w:color w:val="auto"/>
        </w:rPr>
        <w:t>(“ASC 350”), goodwill is recognized as an</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is tested for impairment annually and between annual tests whenever events or changes in circumstances indicate that impairment may have occurred. Goodwill impairment is assessed based on a comparison of the estimated fair value of each reporting unit to the underlying carrying value of the reporting unit’s net assets, including goodwill. An impairment charge is recognized for the amount that the carrying value exceeds the reporting unit’s fair value. For purposes of the goodwill impairment evaluation, the Company as a whole is considered the reporting unit. The estimated fair value is generally determined using a combination of discounted cash flow analysis and earnings multiplied by a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ratio for comparable companies. Potential impairment is indicated when the carrying value of a reporting unit, including goodwill, exceeds its estimated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years ended December 31, 2020 and 2019, there was no impairment loss related to goodwill. For additional details, refer to Note 4 “Goodwill and Intangible Assets,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Definite-lived intangible assets represent the estimated fair value of intangible assets acquired in connection with the Privia Acquisition and the Complete Acquisition. Amortization is calculated using the straight-line method over the estimated useful lives of the intangible assets which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44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20 years</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4420" w:type="dxa"/>
            <w:vAlign w:val="bottom"/>
          </w:tcPr>
          <w:p>
            <w:pPr>
              <w:ind w:left="3340"/>
              <w:spacing w:after="0"/>
              <w:rPr>
                <w:sz w:val="20"/>
                <w:szCs w:val="20"/>
                <w:color w:val="auto"/>
              </w:rPr>
            </w:pPr>
            <w:r>
              <w:rPr>
                <w:rFonts w:ascii="Arial" w:cs="Arial" w:eastAsia="Arial" w:hAnsi="Arial"/>
                <w:sz w:val="18"/>
                <w:szCs w:val="18"/>
                <w:color w:val="auto"/>
              </w:rPr>
              <w:t>10 years</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 customer relationships</w:t>
            </w:r>
          </w:p>
        </w:tc>
        <w:tc>
          <w:tcPr>
            <w:tcW w:w="44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24 years</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Complete MD Management Service Agreement</w:t>
            </w:r>
          </w:p>
        </w:tc>
        <w:tc>
          <w:tcPr>
            <w:tcW w:w="4420" w:type="dxa"/>
            <w:vAlign w:val="bottom"/>
          </w:tcPr>
          <w:p>
            <w:pPr>
              <w:ind w:left="3340"/>
              <w:spacing w:after="0"/>
              <w:rPr>
                <w:sz w:val="20"/>
                <w:szCs w:val="20"/>
                <w:color w:val="auto"/>
              </w:rPr>
            </w:pPr>
            <w:r>
              <w:rPr>
                <w:rFonts w:ascii="Arial" w:cs="Arial" w:eastAsia="Arial" w:hAnsi="Arial"/>
                <w:sz w:val="18"/>
                <w:szCs w:val="18"/>
                <w:color w:val="auto"/>
              </w:rPr>
              <w:t>16 years</w:t>
            </w:r>
          </w:p>
        </w:tc>
      </w:tr>
    </w:tbl>
    <w:p>
      <w:pPr>
        <w:spacing w:after="0" w:line="2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reviews the carrying value of its finite-lived intangible assets for impairment whenever events and circumstances indicate that the carrying value of an asset may not be recoverable from the estimated future cash flows expected to result from its use and eventual disposition. If these future undiscounted cash flows are less than the carrying value of the asset, then the carrying amount of the asset is written down to its fair value, based on the related estimated discounted future cash flows. The factors considered by management in performing this assessment include current operating results; trends and prospects; the manner in which the intangible assets are used; and the effects of obsolescence, demand, competition and other economic factors. Based on this assessment, no impairment was recorded for the years ended December 31, 2020 or 2019. Note 4 “Goodwill and Intangible Assets,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Debt issuance costs represent costs incurred to issue the Company’s note payable and are recorded as a direct reduction to the Company’s note payable. These costs are amortized over the term of the applicable indebtedness using the effective interest method. Amortization is included in interest expense in the accompanying consolidated statements of operations and comprehensive income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Revenue for the year ended December 31, 2018 is presented under ASC Topic 605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ASC 605, we recognized revenue when all of the following criteria were met: Persuasive evidence of an arrangement exists; the sales price is fixed or determinable; collection is reasonably assured; and services have been rendered.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Beginning January 1, 2019,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approach.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133" w:lineRule="exact"/>
        <w:rPr>
          <w:sz w:val="20"/>
          <w:szCs w:val="20"/>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cumulative effect of initially adopting ASC 606 was limited to reclassification of bad debt expense, from a general and administrative expense in 2018 to a contra revenue account in 2019 in the amount of $1.5 million for 2019. Bad debt expense had historically been reported within general and administrative expenses, separately from patient service revenue. Under ASC 606, the Company estimates implicit price concessions related to self-pay balances as part of estimating the original transaction price and reports such estimates as reduction of transaction price. The key judgments applicable to revenue recognition under ASC 605 and ASC 606 are similar and are described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FFS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FFS-patient care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FFS-patient care revenue is primarily generated from providing healthcare services to patients. Providing medical services to patients represents our performance obligation under these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2020 and 2019, changes in the Company’s estimates of implicit price concessions, contractual adjustments, and expected payments for performance obligations satisfied in prior periods were not significant.</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With respect to our treatment of revenue from Owned Medical Groups, it is necessary to assess whether we are the principal or the agent with respect to FFS-patient care revenue in light of the fact that healthcare services are furnished by Privia Providers rather than employees of the Owned Medical Groups. ASC 606-10-55-37A indicates that an entity is a principal if it obtains control of a right to a service to be performed by another party, which gives the entity the ability to direct that party to perform the services to the customer on the entity’s behalf. The Owned Medical Groups, which are each majority-owned and controlled by us, own the contractual relationships with the patients and the third party payers and they direct Privia Providers to perform healthcare services on the Company’s behalf. Although we are prohibited by law from interfering in the physician-patient relationship or making clinical care decisions, our Owned Medical Groups are responsible for the fulfillment of healthcare services to patients. Further, we employ Chief Medical Officers and Medical Directors who provide clinical oversight and direction over the clinical affairs of the Owned Medical Groups. In addition, the Owned Medical Group provides the care coordination activities, patient outreach and education activities, and sets quality standards for our Privia Providers. We also verify that Privia Providers have the proper qualifications (e.g., correct licenses, certificates, etc.) for our Owned Medical Groups, for ourselves and as a delegate on behalf of certain third-party payers. In addition to oversight of health care services, the Owned Medical Group is also the party primarily responsible for providing the services to patients and maintains discretion in establishing pricing for all services through agreements with patients and their insurance payers. The Owned Medical Groups negotiate and enter into provider agreements with third-party payer insurance companies, which outline the obligations of the Owned Medical Group and the third-party payers in connection with providing patient care services to covered patients. This includes setting the reimbursement rate for all services provided by the Owned Medical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assessing who is the principal in providing the patient care services, the Company considered who controls the provision of patient care services. As a result of our oversight of Owned Medical Groups (including setting the expectations for the Owned Medical Group’s patients and the commercial payers’ expectations of the Owned Medical Groups) and the contractual relationships with patients and their third-party payers, we are the principal in these relationships.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FFS-administrative services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Management Services Agreements (“MSAs”) with Non-Owned Medical Groups.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MSAs with the Non-Owned Medical Groups range from 5 – 20 years in duration and outline the terms and conditions of the administration and management services to be provided, which includes revenue cycle management services such as billings and collections, as well as other services, including, but not limited to, payer contracting, information technology services and accounting and treasury services.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fee revenue.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Administrative fees are reported at the amount that reflects the consideration to which the Company expects to be entitled in exchange for the provision of administration and management services to the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The Company reduces the amount of FFS – administrative services revenue by the amount of any rebates earned by its customers. No rebates have been earned for years ended December 31, 2020, 2019 and 2018.</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VBC revenue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VBC business consists of its clinically integrated network and ACOs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per member per month basis and (2) on a shared savings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Care management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Shared Savings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the shared savings basis, the Company is offered financial incentives to increase their accountability for the cost, quality and efficiency of the care provided to the population of attributed members. The Company is paid the financial incentives when, for a given twelve-month measurement period, their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financial instruments consist primarily of cash and cash equivalents, accounts receivable, other receivables, accounts payable, notes payable to related parties and note payable. The Company considers the carrying values of cash and cash equivalents, accounts receivable, other receivables, accounts payable, notes payable to related parties and note payable to be indicative of their respective fair values. The carrying amount for notes payable is deemed to approximate fair value is defined as the price that would be received to sell an asset or paid to transfer a liability in an orderly transaction between market participants at the measurement date. A three level hierarchy for fair value measurements exists based upon the transparency of inputs to the valuation of an asset or liability as of the measurement date. The three levels are defined as follows: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are considered Level 1 assets and liabilities, with the exception of note payable which is considered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non-controlling interest represents the equity interest of the non-controlling equity holders and results of operations of Complete MD Solutions LLC, PMSO and our Owned Medical Groups. The consolidated financial statements include all assets, liabilities, revenues, and expenses of less-than-100%-owned affiliates where the Company has a controlling financial interest. The Company has separately reflected net income attributable to the non-controlling interests in net income in the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accounts for income taxes in accordance with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ASC 740 requires that income tax accounts be computed using the asset and liability method. Deferred tax assets and liabilities are recognized for the tax consequences attributable to differences between the financial statement carrying amounts of existing assets and liabilities and their respective tax bases and operating loss and tax credit carryforwards.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the temporary differences are expected to be recovered or settled. Under ASC 740, the effect on deferred tax assets and liabilities of a change in tax rates is recognized in income in the period that includes the enactment date. Should the Company determine that it is more likely than not that some portion or all of its deferred tax assets will not be realized, a valuation allowance to the deferred tax assets would be established in the period such determination was made. State corporate taxes were calculated based on a blended rate calculated based on the Company’s allocation and apportionment to the states. Calculation under the blended rate does not result in a material difference.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740 requires an entity to recognize the financial statement impact of a tax position when it is more likely than not that the position will be sustained upon examination. If the tax position meets the more likely than not recognition threshold, the tax effect is recognized at the largest amount of the benefit that has greater than a fifty percent likelihood of being realized upon ultimate settlement. ASC 740 also provides guidance for classification, interest and penalties, accounting in interim periods, disclosure, and transition. ASC 740 requires that a liability created for unrecognized tax benefits be presented as a separate liability and not combined with deferred tax liabilities or assets.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December 31, 2020, and 2019, the Company believes it has appropriately accounted for any unrecognized tax benefits. To the extent the Company prevails in matters for which a liability for an unrecognized tax benefit is established or is required to pay amounts in excess of the liability, the Company’s effective tax rate in a given financial statement period may be affected. The Company does not have any accrued interest or penalties associated with any unrecognized tax benefits, nor was any interest expense recognized during the year. The Company and its subsidiaries file income tax returns in the U.S. federal jurisdiction and in various state jurisdictions. As of December 31, 2020, the periods subject to examination by the Company’s major jurisdictions (Federal and various states) are generally for the years December 31, 2017 through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and Practice Liability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certain amounts payable to its physicians and their related physician practices that represent physician salaries and other required distributions pursuant to the service agreements which have not yet been paid.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Company has non-cancelable operating lease arrangements for corporate offices. The company recognizes rent expense on a straight-line basis over the lease term. The difference between cash rent payments and the recognition of straight-line rent expense is recorded as deferred rent and amortized over the lease term. The Company records deferred rent under other current liabilities and non-current liabilities on the consolidated balance sheets. As of December 31, 2020 and 2019, total deferred rent was $5.3 million and $4.9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and Practice Expense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Physician payments are set payments made to physicians associated with Owned Medical Groups. These payments are set and adjusted as necessary, pursuant to Owned Medical Groups’ Board of Directors’ approved guidelines with variances specifically approved by the Owned Medical Groups’ Board of Directors. Practice related payments are used to cover an Affiliated Practice’s staff salary and benefits, medical supplies, rent and other occupancy costs, insurance and office supplies. Affiliated Practices are not owned by the Company and the Company bears no responsibility for any losses incurred by Affiliated Practices. Affiliated Practices are paid a variable amount based on collections and the services provided.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Platform</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platform represents the direct costs the Company incurs to provide services to our Privia Physicians and their practices. It includes third-party electronic medical records and practice management software expenses, employee-related expenses, including salaries and employee benefits costs, as well as consulting expenses, travel-related expenses and technology related expenses for the team. Third-party electronic medical records and practice management software expenses are paid on a percentage of revenue basis, while employee-related expenses are variable based on the number of employees used to service our implemented physicians.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expenses consist of employee-related expenses, including salaries, commissions, and employee benefits costs, for all of the Company’s employees, engaged in marketing, sales, community outreach, and sales support. These employee-related expenses capture all costs for both our field-based and corporate sales and marketing teams.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Corporate, general and administrative expenses include employee-related expenses, including salaries and related costs and share-based compensation, technology infrastructure, operations, clinical and quality support, finance, legal, human resources, and development departments. In addition, general and administrative expenses include all corporate technology and occupancy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for the Company are expensed as incurred. Advertising expense was approximately $0.8 million, $1.0 million and $0.9 million for the years ended December 31, 2020,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accounts for share-based compensation in accordance with the expense recognition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which requires the issuer to recognize compensation expense for all share-based payments made to employees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share-based payment at the date of grant. The estimated fair value of share-based payments granted to the Company’s employees is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9 “Share-Based Compensation”). The share-based payments granted to employees of the Company do not have quoted market prices, and changes in subjective input assumptions can materially affect the fair value estimate. The Company records share-based compensation forfeitures as a reversal of previously recognized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Common Stockholders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net income (loss) per share attributable to common stockholders is calculated by dividing the net income (loss) attributable to common stockholders by the weighted-average number of shares of common stock outstanding for the period.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treasury stock method is used to consider the effect of the potentially dilutive stock options. Diluted net income (loss) attributable to common stockholders is computed by adjusting income (loss) attributable to common stockholders to allocate undistributed earnings based on the potential impact of dilutive securities, including outstanding stock options. Diluted net (loss) income per share attributable to common stockholders is computed by dividing the diluted net income (loss) attributable to common stockholders by the weighted average number of common shares outstanding for the period, including common stock equivalents. In periods when the Company has incurred a net loss, options to purchase common stock are considered common stock equivalents but have been excluded from the calculation of diluted net loss per share attributable to common stockholders as their effect is antidilutive.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No. 2014-09 creates a five-step model that requires companies to exercise judgment when considering all relevant facts and circumstances in the determination of when and how revenue is recognized and requires entities to recognize revenues when control of the promised goods or services is transferred to customers at an amount that reflects the consideration to which the entity expects to be entitled in exchange for those goods or services. The guidance in ASU 2014-09 supersedes the FASB’s previous revenue recognition requirements and most industry-specific guidance. The provisions of ASU 2014-09 became effective for the Company for annual reporting periods beginning after December 15, 2018. On January 1, 2019 the Company adopted ASC 606 using the modified retrospective method applied to those contracts which were not completed as of January 1, 2019. The adoption of ASU 2014-09 did not have a material impact on the Company’s consolidated financial statements other than $1.5 million being reclassified as a contra revenue, instead of bad debt expense in general and administrative expenses. For the year ended December 31, 2018, bad debt expense of $0.2 million continues to be reported within general and administrative expenses. For additional details refer to Note 1 “Organization and Summary of Significant Accounting Policies” and Note 3 “Revenue.”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Pending Adoption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Upon the effective date, ASU 2016-02 will supersede the current lease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Under the new guidance, lessees will be required to recognize for all leases, with the exception of short-term leases, a lease liability, which is a lessee’s obligation to make lease payments arising from a lease, measured on a discounted basis. Concurrently, lessees will be required to recognize a right-of-use asset, which is an asset that represents the lessee’s right to use, or control the use of, a specified asset for the lease term. The provisions of ASU 2016-02 are effective for the Company for annual reporting periods beginning after December 15, 2021, with early adoption permitted. The guidance must be applied using a modified retrospective transition approach for leases existing at, or entered into after, the beginning of the earliest comparative periods presented in the consolidated financial statements. The Company will adopt this standard on January 1, 2021 and the impact is expected to result in the recognition of operating right-of-use assets of approximately $6.0 million and operating lease liabilities of approximately $11.3 million.</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(CECL). The new credit losses standard changes the impairment model for most financial assets and certain other instruments. For trade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receivables, contract assets recognized as a result of applying ASU 2014-09, loans and certain other instruments, entities will be required to use a new forward looking “expected loss” model that generally will result in earlier recognition of credit losses than under today’s incurred loss model. CECL is effective for the Company for annual reporting periods beginning after December 15, 2020. The Company is currently evaluating the impact of CECL on its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statements but does not expect the adoption of this guidance to have a material effect on the Company’s consolidated financial statements.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eliminates certain exceptions related to the approach for intra period tax allocation, the methodology for calculating income taxes in an interim period and the recognition of deferred tax liabilities for outside basis differences. It also clarifies and simplifies other aspects of the accounting for income taxes. This guidance is effective for the Company for annual reporting periods beginning after December 15, 2021. Early adoption is permitted. The Company is currently evaluating the impact of ASU 2019-12 on its consolidated financial statements.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Standards Update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 Facilitation of the Effects of Reference Rate Reform on Financial Reporting</w:t>
      </w:r>
      <w:r>
        <w:rPr>
          <w:rFonts w:ascii="Arial" w:cs="Arial" w:eastAsia="Arial" w:hAnsi="Arial"/>
          <w:sz w:val="16"/>
          <w:szCs w:val="16"/>
          <w:color w:val="auto"/>
        </w:rPr>
        <w:t>. The ASU provides temporary relief from some of the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note payable agreement bear interest based on LIBOR or an alternate rate. Provisions currently provide the Company with the ability to replace LIBOR with a different reference rate in the event that LIBOR ceases to exist.</w:t>
      </w:r>
    </w:p>
    <w:p>
      <w:pPr>
        <w:spacing w:after="0" w:line="110"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Going Concern</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accordance with Accounting Standards Update (“ASU”) No. 2014-15, Disclosure of Uncertainties about an Entity’s Ability to Continue as a Going Concern (Subtopic 205-40), 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Since inception the Company has financed its operations primarily through the sale of our equity, revenue from our patient services and incurrence of indebtedness. As of December 31, 2020 and 2019, the Company had an accumulated deficit of approximately $19.9 million and $51.1 million, respectively. The Company had net income of approximately $31.2 million for the year ended December 31, 2020, $8.2 million for the year ended December 31, 2019 and incurred a net loss of approximately $3.0 million for the year ended December 31, 2018. The Company has operating cash flows of $38.9 million, $24.4 million and $5.2 million for the years ended December 31, 2020, 2019 and 2018, respectively. While the Company has reported positive net income for the years ended December 31, 2020 and December 31, 2019, we expect our operating expenses to increase significantly over the next several years as we continue to hire additional personnel, expand our operations and infrastructure, and continue to invest to reach more patients. We believe that these investments will see expected future operating income as we expand into more markets. We anticipate that these increased costs will be offset positively by increased revenue. As of December 31, 2020 and 2019, the Company has consolidated cash and cash equivalents totaling approximately $84.6 million and $46.9 million, respectively.</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seeking to complete an initial public offering (“IPO”) of its common stock. In the event the Company does not complete an IPO, the Company expects to seek additional funding through private financings or other strategic transactions.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2019, the Company refinanced its debt obligations and secured an additional $10.0 million revolving line of credit that may be used for liquidity purposes. During 2020, the Company secured an additional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its revolving line of credit giving it access to $15.0 million under its line of credit. Management believes that its cash and cash equivalents as of December 31, 2020, along with the proceeds from the additional line of credit, will allow the Company to continue its operations and satisfy its liabilities in the normal course of business for at least 12 months beyond the audit report date. It is management’s expectation that the successful culmination of the increased investment in growing the Company’s business will result in improved liquidity and operating results. However, there is no certainty that such improvements will be realized.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06"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reported results for the years ended December 31, 2020 and December 31, 2019 reflect the application of ASC 606. Periods prior to January 1, 2019 reflect accounting under ASC 605.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Twelve Months Ended December 31,</w:t>
            </w:r>
          </w:p>
        </w:tc>
        <w:tc>
          <w:tcPr>
            <w:tcW w:w="980" w:type="dxa"/>
            <w:vAlign w:val="bottom"/>
            <w:tcBorders>
              <w:bottom w:val="single" w:sz="8" w:color="auto"/>
            </w:tcBorders>
          </w:tcPr>
          <w:p>
            <w:pPr>
              <w:spacing w:after="0"/>
              <w:rPr>
                <w:sz w:val="16"/>
                <w:szCs w:val="16"/>
                <w:color w:val="auto"/>
              </w:rPr>
            </w:pPr>
          </w:p>
        </w:tc>
      </w:tr>
      <w:tr>
        <w:trPr>
          <w:trHeight w:val="18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572,719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32,960</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Care management fees (PMPM)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9,836</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817,075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786,360</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657,609</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FFS-patient care is primarily generated from third-party payers with which the Company has established contractual billing arrangements. The following table presents the approximate percentages by source of net operating revenue received for healthcare services we provided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16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insurers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Government payers</w:t>
            </w: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Patient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60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FFS-administrative services revenue is earned through the Company’s MSA with Non-Owned Medical Groups primarily based on a fixed percentage of net collections on patient care generated by those medical groups. VBC revenue is generated through Care management fee (PMPM) payments from payers to provide care coordination services to patients and through shared savings contracts with large commercial payer organizations and the U.S. Federal Government. For additional details, refer to Note 1 “Organization and Summary of Significant Accounting Policies.”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Asset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the following contract assets and unearned revenue:</w:t>
      </w:r>
    </w:p>
    <w:p>
      <w:pPr>
        <w:spacing w:after="0" w:line="203"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for contracts with customers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99,118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77,339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unearned revenues is presented on the balance sheet under other current liabilities and represent payments made to, or due from, customers in advance of our performance. All contracts are less than or equal to twelve months. Changes in the balance of total deferred revenue during the twelve months ended December 31,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40" w:type="dxa"/>
            <w:vAlign w:val="bottom"/>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December 31, 2019</w:t>
            </w:r>
          </w:p>
        </w:tc>
        <w:tc>
          <w:tcPr>
            <w:tcW w:w="1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Additions</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Revenue Recognized</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31, 2020</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154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color w:val="auto"/>
              </w:rPr>
              <w:t>4,117</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8"/>
                <w:szCs w:val="18"/>
                <w:color w:val="auto"/>
              </w:rPr>
              <w:t>(1,924)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rPr>
              <w:t>$2,759</w:t>
            </w: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twelve months ended December 31, 2020, the Company recognized approximately $0.6 million of revenue related to amounts unearned as of December 31,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our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revenue. The Company has minimal unsatisfied performance obligations at the end of the reporting period as our patients typically are under no obligation to continue receiving services at our facilities.</w:t>
      </w:r>
    </w:p>
    <w:p>
      <w:pPr>
        <w:spacing w:after="0" w:line="129"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purposes of the goodwill impairment assessment, the company as a whole is considered to be the reporting unit. The fair value of the reporting unit is estimated using a combination of three approaches, all equally weighted: a) discounted cash flow analysis (income approach), b) fair value of comparable transactions (transaction approach) and c) enterprise value to revenue multiple for comparable companies (market approach). Potential impairment is indicated when the carrying value of a reporting unit exceeds its estimated fair value. The Company’s carrying amount of goodwill at December 31, 2020 and 2019 is approximately $118.7 million. As discussed in Note 1 “Organization and Summary of Significant Accounting Policies,” the Company tested goodwill for impairment as of October 1, 2020 and 2019 and the fair value of the reporting unit exceeded the carrying value and therefore, during the years ended December 31, 2020 and 2019, there were no changes in the recognized amounts of goodwill.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6"/>
                <w:szCs w:val="16"/>
                <w:color w:val="auto"/>
              </w:rPr>
            </w:pPr>
          </w:p>
        </w:tc>
        <w:tc>
          <w:tcPr>
            <w:tcW w:w="294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95"/>
              <w:spacing w:after="0" w:line="135" w:lineRule="exact"/>
              <w:rPr>
                <w:sz w:val="20"/>
                <w:szCs w:val="20"/>
                <w:color w:val="auto"/>
              </w:rPr>
            </w:pPr>
            <w:r>
              <w:rPr>
                <w:rFonts w:ascii="Arial" w:cs="Arial" w:eastAsia="Arial" w:hAnsi="Arial"/>
                <w:sz w:val="14"/>
                <w:szCs w:val="14"/>
                <w:b w:val="1"/>
                <w:bCs w:val="1"/>
                <w:color w:val="auto"/>
              </w:rPr>
              <w:t>Intangible</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95"/>
              <w:spacing w:after="0" w:line="135" w:lineRule="exact"/>
              <w:rPr>
                <w:sz w:val="20"/>
                <w:szCs w:val="20"/>
                <w:color w:val="auto"/>
              </w:rPr>
            </w:pPr>
            <w:r>
              <w:rPr>
                <w:rFonts w:ascii="Arial" w:cs="Arial" w:eastAsia="Arial" w:hAnsi="Arial"/>
                <w:sz w:val="14"/>
                <w:szCs w:val="14"/>
                <w:b w:val="1"/>
                <w:bCs w:val="1"/>
                <w:color w:val="auto"/>
              </w:rPr>
              <w:t>Intangible</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tcPr>
          <w:p>
            <w:pPr>
              <w:jc w:val="right"/>
              <w:ind w:right="535"/>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PMG customer relationships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Service Agreement (Complete MD)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weighted average life of all amortizable intangible assets is approximately 10.75 years at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for intangible assets was approximately $0.6 million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amortization expense for the Company’s intangible assets for the following five years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rPr>
              <w:t>2022</w:t>
            </w: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rPr>
              <w:t>2024</w:t>
            </w: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75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0" w:type="dxa"/>
            <w:vAlign w:val="bottom"/>
            <w:vMerge w:val="continue"/>
          </w:tcPr>
          <w:p>
            <w:pPr>
              <w:spacing w:after="0"/>
              <w:rPr>
                <w:sz w:val="24"/>
                <w:szCs w:val="24"/>
                <w:color w:val="auto"/>
              </w:rPr>
            </w:pPr>
          </w:p>
        </w:tc>
        <w:tc>
          <w:tcPr>
            <w:tcW w:w="7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A summary of the Company’s property and equipment, net is as follows: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8"/>
              </w:rPr>
              <w:t>1,073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tcPr>
          <w:p>
            <w:pPr>
              <w:spacing w:after="0"/>
              <w:rPr>
                <w:sz w:val="19"/>
                <w:szCs w:val="19"/>
                <w:color w:val="auto"/>
              </w:rPr>
            </w:pPr>
          </w:p>
        </w:tc>
        <w:tc>
          <w:tcPr>
            <w:tcW w:w="1180" w:type="dxa"/>
            <w:vAlign w:val="bottom"/>
          </w:tcPr>
          <w:p>
            <w:pPr>
              <w:jc w:val="center"/>
              <w:ind w:left="535"/>
              <w:spacing w:after="0"/>
              <w:rPr>
                <w:sz w:val="20"/>
                <w:szCs w:val="20"/>
                <w:color w:val="auto"/>
              </w:rPr>
            </w:pPr>
            <w:r>
              <w:rPr>
                <w:rFonts w:ascii="Arial" w:cs="Arial" w:eastAsia="Arial" w:hAnsi="Arial"/>
                <w:sz w:val="18"/>
                <w:szCs w:val="18"/>
                <w:color w:val="auto"/>
                <w:w w:val="88"/>
              </w:rPr>
              <w:t>1,051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88"/>
              </w:rPr>
              <w:t>4,863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left="535"/>
              <w:spacing w:after="0"/>
              <w:rPr>
                <w:sz w:val="20"/>
                <w:szCs w:val="20"/>
                <w:color w:val="auto"/>
              </w:rPr>
            </w:pPr>
            <w:r>
              <w:rPr>
                <w:rFonts w:ascii="Arial" w:cs="Arial" w:eastAsia="Arial" w:hAnsi="Arial"/>
                <w:sz w:val="18"/>
                <w:szCs w:val="18"/>
                <w:color w:val="auto"/>
                <w:w w:val="88"/>
              </w:rPr>
              <w:t>6,987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1"/>
              </w:rPr>
              <w:t>(2,173)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88"/>
              </w:rPr>
              <w:t>4,814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including amortization of leasehold improvements, was approximately $1.2 million, $0.8 million and $0.4 million for the years ended December 31, 2020, 2019 and 2018, respectively.</w:t>
      </w:r>
    </w:p>
    <w:p>
      <w:pPr>
        <w:spacing w:after="0" w:line="112"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Bonuses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27,939</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77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Note Payable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40" w:type="dxa"/>
            <w:vAlign w:val="bottom"/>
            <w:vMerge w:val="continue"/>
          </w:tcPr>
          <w:p>
            <w:pPr>
              <w:spacing w:after="0"/>
              <w:rPr>
                <w:sz w:val="24"/>
                <w:szCs w:val="24"/>
                <w:color w:val="auto"/>
              </w:rPr>
            </w:pPr>
          </w:p>
        </w:tc>
        <w:tc>
          <w:tcPr>
            <w:tcW w:w="7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The Company’s note payable consists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Less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Note payable,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33,525</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15, 2016, the Company entered into a Loan and Security Agreement with a third-party financial institution. The debt agreement provided for up to $30.0 million in term loans that were scheduled to mature on September 1, 2020 at the greater of prime plus 7.45% or 10.95% payable monthly. The Company borrowed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$20.0 million initially in August 2016 and an additional $10.0 million in May 2017. The financing allowed for early repayment if the Company paid a pre-payment fee of 3% during the first 12 months, 2% between 12 and 24 months and 0.5% between 24 months and 36 months. On November 15, 2019, this debt was fully repaid using proceeds from a new credit facility the Company entered into with another third-party financial institution. Unamortized debt issuance costs of approximately $0.1 million were written off.</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November 15, 2019, the Company entered into a Credit Agreement with a third-party financial institution. The debt agreement provides for up to $35.0 million in term loans that mature on November 15, 2024 with interest payable monthly at the lesser of LIBOR plus 2.5% or ABR plus 1.5% payable monthly (4.24% at December 31, 2019), plus up to an additional $10.0 million of financing in the form of a revolving loan. The revolving loan also includes a letter of credit sub-facility in the aggregate availability amount of $2.0 million and a swingline sub-facility in the aggregate availability amount of $2.0 million. The Company borrowed $35.0 million in term loans on November 15, 2019. During the first year of any loans, the financing allows for early repayment of part or all of the term loans in increments of $0.5 million with a pre-payment fee of 1% of any debt prepaid. After the first year from any borrowing, the debt may be repaid without the pre-payment fee.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March 2020, the Company borrowed $10.0 million against the revolving loan, which bears interest at the lesser of LIBOR + 2.5% or ABR + 1.5% payable monthly and matures November 15, 2024. These borrowings were repaid in 2020 with $5.0 million repaid in July 2020 and $5.0 million repaid in September 2020. On July 17, 2020, the Company increased its capacity under the revolving loan to $15.0 million. As of December 31, 2020 and 2019 there were no amounts outstanding under the revolving loan.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relating to the note payable and revolving loan was approximately $1.9 million, $4.0 million and $3.8 million for the years ended December 31, 2020, 2019 and 2018, respectively.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Debt issuance costs relating to the term loans of approximately $0.6 million have been capitalized and are being amortized over the life of the loan using the effective interest method. Amortization expense, including amounts written off in 2020, of approximately $0.1 million, $0.3 million and $0.1 million was recorded for the years ended December 31, 2020, 2019 and 2018, respectively.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Substantially all of the Company’s real and personal property serve as collateral under the above debt arrangements. The Credit Agreement requires the Company to maintain (i) a consolidated fixed charge coverage ratio not less than 1.25 to 1.0, and (ii) a consolidated leverage ratio of no more than 4.0 to 1.0 on December 31, 2020, 3.5 to 1.0 on March 31, 2021 and 3.0 to 1.0 thereafter. The Company is in compliance with its debt covenants for the years ended December 31, 2020, and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aggregate principal payments applicable to long-term debt for years subsequent to December 31, 2020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(Dollars in Thousands)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34,125</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from) provision for income taxes for years ending December 31, 2020, 2019 and 2018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36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from) provision for incomes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Deferred taxes reflect the net tax effects of temporary differences between the carrying amounts of assets and liabilities for financial reporting purposes and the amounts used for income tax purposes. Deferred tax assets and deferred tax liabilities as of December 31, 2020 and 2019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9,758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13,480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accruals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and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(13,710)</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(liability), net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year ended December 31, 2020, the Company completed an assessment of the likelihood of realizing all or some portion of its net deferred tax assets. This assessment concluded that the Company realized positive cumulative income over the last three years and combined with the forecast of future taxable income, it determined it was more likely than not that the Company will be in a position to realize the benefits of the deferred tax asset. As such, the valuation allowance was removed, which resulted in a net deferred tax asset balance as of December 31, 2020. For the year ended December 31, 2019, the Company’s assessment considered the scheduled reversal of deferred tax liabilities, projected future taxable income and tax planning strategies and concluded that it was more likely than not that a portion of deferred tax assets are not realizable and, accordingly, recorded a valuation allowance of approximately $13.7 million as of December 31, 2019. The net deferred tax liability in 2019 is the result of indefinite-lived liabilities related to intangible assets. As of December 31, 2020, the Company has generated Federal and State net operating loss carryforwards of approximately $39.5 million and $29.6 million (post-apportioned state NOL) respectively, that begin to expire in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income tax computed at the Federal statutory income tax rate to the (benefit from) provision for income taxes: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Percent</w:t>
            </w:r>
          </w:p>
        </w:tc>
        <w:tc>
          <w:tcPr>
            <w:tcW w:w="1080" w:type="dxa"/>
            <w:vAlign w:val="bottom"/>
          </w:tcPr>
          <w:p>
            <w:pPr>
              <w:spacing w:after="0"/>
              <w:rPr>
                <w:sz w:val="16"/>
                <w:szCs w:val="16"/>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r>
      <w:tr>
        <w:trPr>
          <w:trHeight w:val="18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computed at Federal statutory income tax rate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(17.7)</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(0.6)</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permanent items impacting the income tax provision are primarily attributable to the non-deductibility of meals and entertainment.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2019 and 2018 Federal and state income tax returns are within the statute of limitations (“SOL”) and are currently not under examination by any Federal or state tax authority.</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Tax Act enacted on December 22, 2017 reduced the U.S. federal corporate income tax rate from 35% to 21%, effective January 1, 2018. The SEC staff issued Staff Accounting Bulletin 118 (“SAB 118”), which provides guidance on accounting for the tax effects of the Tax Act. SAB 118 provides a measurement period that should not extend beyond one year from the Tax Act enactment date for companies to complete the accounting under Accounting Standards Codification 740, Income Taxes (“ASC 740”). The Company has completed its accounting for the tax effects of the Tax Act.</w:t>
      </w:r>
    </w:p>
    <w:p>
      <w:pPr>
        <w:spacing w:after="0" w:line="99"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PH Group Holdings Corp. Stock Option Plan (the PH Group Option Plan) was created on January 17, 2014. The employees of the Company and its subsidiaries, consultants of the Company and the employees of Brighton Health Plan Services Holdings Corp. (BHPS) (a wholly-owned subsidiary of BHG Holdings) and its subsidiaries who have performed services for the Company were the participants of the PH Group Option Plan. The aggregate number of shares of common stock for which options may be granted under the PH Group Option Plan shall not exceed 4,229,850 shares.</w:t>
      </w:r>
    </w:p>
    <w:p>
      <w:pPr>
        <w:spacing w:after="0" w:line="1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Effective August 11, 2016, the PH Group Option Plan was transferred to its parent and became the PH Group Parent Corp. Stock Option Plan (the PH Parent Option Plan). All other terms in the PH Group Option Plan remained unchanged in the PH Parent Option Plan at the effective date of the transfer.</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August 28, 2018, the PH Parent Option Plan was amended and restated to increase the aggregate number of shares of common stock for which options may be granted from 4,229,850 shares to 18,985,846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activity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the PH Parent Option Plan transactions: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Grant-Date</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 in 2018</w:t>
            </w:r>
          </w:p>
        </w:tc>
        <w:tc>
          <w:tcPr>
            <w:tcW w:w="1560" w:type="dxa"/>
            <w:vAlign w:val="bottom"/>
          </w:tcPr>
          <w:p>
            <w:pPr>
              <w:jc w:val="right"/>
              <w:spacing w:after="0"/>
              <w:rPr>
                <w:sz w:val="20"/>
                <w:szCs w:val="20"/>
                <w:color w:val="auto"/>
              </w:rPr>
            </w:pPr>
            <w:r>
              <w:rPr>
                <w:rFonts w:ascii="Arial" w:cs="Arial" w:eastAsia="Arial" w:hAnsi="Arial"/>
                <w:sz w:val="18"/>
                <w:szCs w:val="18"/>
                <w:color w:val="auto"/>
              </w:rPr>
              <w:t>14,202,635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in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Cancelled in 2018</w:t>
            </w:r>
          </w:p>
        </w:tc>
        <w:tc>
          <w:tcPr>
            <w:tcW w:w="1560" w:type="dxa"/>
            <w:vAlign w:val="bottom"/>
          </w:tcPr>
          <w:p>
            <w:pPr>
              <w:jc w:val="right"/>
              <w:spacing w:after="0"/>
              <w:rPr>
                <w:sz w:val="20"/>
                <w:szCs w:val="20"/>
                <w:color w:val="auto"/>
              </w:rPr>
            </w:pPr>
            <w:r>
              <w:rPr>
                <w:rFonts w:ascii="Arial" w:cs="Arial" w:eastAsia="Arial" w:hAnsi="Arial"/>
                <w:sz w:val="18"/>
                <w:szCs w:val="18"/>
                <w:color w:val="auto"/>
              </w:rPr>
              <w:t>(2,087,359)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in 2018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15,444,112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in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Exercised in 2019</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 in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in 2019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 in 2020</w:t>
            </w:r>
          </w:p>
        </w:tc>
        <w:tc>
          <w:tcPr>
            <w:tcW w:w="1560" w:type="dxa"/>
            <w:vAlign w:val="bottom"/>
          </w:tcPr>
          <w:p>
            <w:pPr>
              <w:jc w:val="right"/>
              <w:spacing w:after="0"/>
              <w:rPr>
                <w:sz w:val="20"/>
                <w:szCs w:val="20"/>
                <w:color w:val="auto"/>
              </w:rPr>
            </w:pPr>
            <w:r>
              <w:rPr>
                <w:rFonts w:ascii="Arial" w:cs="Arial" w:eastAsia="Arial" w:hAnsi="Arial"/>
                <w:sz w:val="18"/>
                <w:szCs w:val="18"/>
                <w:color w:val="auto"/>
              </w:rPr>
              <w:t>830,194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in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Cancelled in 2020</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in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18,300,959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options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3,276,976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options exercised for the years ended December 31, 2020, 2019 and 2018 was $0.</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Approximately 27% of these options granted in 2019 and 2018 vest based on requisite service period ranging from zero to four years (time-based options) and approximately 73% vest only upon the occurrence of a liquidity event (performance-based options). Approximately 14% of options granted in 2020 vest based on requisite service period of four years (time-based options) and approximately 86% vest only upon the occurrence of a liquidity event (performance-based options). For the performance-based options, the vested options only become exercisable upon a liquidity event and with respect to meeting certain financial conditions. Options granted under the PH Group Option Plan generally expire ten years after the date of grant.</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time-based options, approximately 50% vested in 2018 and approximately 50% remained unvested at December 31, 2018. The vested and unvested options had a weighted-average fair value of $0.32 per share at August 28, 2018.</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14,202,635 options that were granted in 2018, 2,087,359 options for 22 employees relate to reissuing of options that were cancelled in 2018. These options were considered to be modified in accordance with ASC 718 since unlike the cancelled options, the reissued options can vest and become exercisable, at least in part, prior to achievement of a liquidity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time-based options, approximately 17% vested in 2019 and approximately 83% remained unvested at December 31, 2019. The vested and unvested options had a weighted-average fair value of $0.36 per share.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3,202,435 options that were granted in 2019, 227,600 options relate to reissuing of options that were cancelled in 2019. These options were considered to be modified in accordance with ASC 718 since unlike the cancelled options, the reissued options can vest and become exercisable, at least in part, prior to achievement of a liquidity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time-based options issued in 2020, approximately 1% vested in 2020 and approximately 99% remain unvested at December 31, 2020. The vested and unvested options had a weighted-average fair value of $0.40 per share.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Share-based compensation expense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estimated fair value of the outstanding time-based options is recognized as share-based compensation expense over the vesting period of the options. For the years ended December 31, 2020, 2019 and 2018, the Company recognized share-based compensation expense of approximately $0.5 million, $0.2 million and $1.9 million, respectively, related to the time-based options, which is included in general and administrative expenses in the accompanying consolidated statements of operations. As of December 31, 2020, 2019 and 2018, respectively, the Company has approximately $0.8 million, $1.2 million and $1.1 million of unrecognized share-based compensation expense related to unvested time-based options. Future share-based compensation expense will be recognized on a straight-line basis over the remaining vesting period for the time-based options.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 the fair value of the options granted using the Monte Carlo option pricing model with the following assumptions presented on a weighted average basis: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43.8 %</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 per option granted</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0.32</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did not recognize any share-based compensation expense related to the performance-based options as the shares are only exercisable upon a liquidity event which did not occur during the period.</w:t>
      </w:r>
    </w:p>
    <w:p>
      <w:pPr>
        <w:spacing w:after="0" w:line="112"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 voluntary 401(k) savings plan that provides a 3.0% safe harbor contribution to all employees. In addition, a minimum profit-sharing contribution is required to satisfy year end plan testing. The profit-sharing contribution was approximately 1.4% in 2020, 2019 and 2018. The Company made contributions of approximately $2.4 million, $2.0 million and $2.0 million for the years ended December 31, 2020, 2019 and 2018, respectively, recorded within cost of platform, sales and marketing and general and administrative expenses in the accompanying consolidated statements of operations.</w:t>
      </w:r>
    </w:p>
    <w:p>
      <w:pPr>
        <w:spacing w:after="0" w:line="130"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had various note payable agreements with BHPS which is a subsidiary of BHG Holdings. Effective September 18, 2019, $13.3 million of the notes were assigned to BHG Holdings and the related interest payable was paid by the Company, leaving $8.7 million outstanding. On September 18, 2019 the $13.3 million obligation was forgiven. Principal payments on the notes payable with BHPS were due within three years of inception of the notes, with maturity dates ranging from December 2020 to December 2021. However, the related party notes payable were subordinated to the third-party financing and cannot be repaid without prior authorization from the third-party lender. Refer to Note 7 “Note Payable” for further details.</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January 30, 2018, the Company entered into a Promissory Note Agreement (“APNA”) with affiliated investors. The APNA borrowed $15.3 million in term loans that matured on January 30, 2020 (“Maturity Date”) with interest payable on the Maturity Date at a rate of 17.5%. The APNA may be repaid early without the pre-payment fee and was subordinated to the third-party financing and cannot be repaid without prior authorization from the third-party lender. Refer to Note 7 “Note Payable” for further details. The APNA was repaid in full on November 15, 2019 including all interest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had both due to related parties and due from related parties for amounts funded and borrowed from affiliates as well as for services provided by related parties. As of December 31, 2019, the net due from affiliate balances was $4.0 million.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31, 2020, the $4.0 million of related party receivables was used to repay $4.0 million of the Notes payable to related parties, leaving $4.7 million of Notes payable to related parties. The Company paid interest of $0.2 million through October 31, 2020. In addition, on December 22, 2020, the remaining $4.7 million of Notes payable to related parties were converted to a capital contribution, leaving no remaining Notes payable to related parties outstanding as of December 31, 2020.</w:t>
      </w:r>
    </w:p>
    <w:p>
      <w:pPr>
        <w:spacing w:after="0" w:line="129" w:lineRule="exact"/>
        <w:rPr>
          <w:sz w:val="20"/>
          <w:szCs w:val="20"/>
          <w:color w:val="auto"/>
        </w:rPr>
      </w:pPr>
    </w:p>
    <w:p>
      <w:pPr>
        <w:ind w:right="8040" w:firstLine="8"/>
        <w:spacing w:after="0" w:line="440" w:lineRule="auto"/>
        <w:tabs>
          <w:tab w:leader="none" w:pos="643"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obligated under non-cancelable operating leases for office space expiring at various dates through 2026. The required total lease payments for each year subsequent to December 31,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(Dollars in Thousands)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right="380"/>
        <w:spacing w:after="0" w:line="438" w:lineRule="auto"/>
        <w:rPr>
          <w:sz w:val="20"/>
          <w:szCs w:val="20"/>
          <w:color w:val="auto"/>
        </w:rPr>
      </w:pPr>
      <w:r>
        <w:rPr>
          <w:rFonts w:ascii="Arial" w:cs="Arial" w:eastAsia="Arial" w:hAnsi="Arial"/>
          <w:sz w:val="18"/>
          <w:szCs w:val="18"/>
          <w:color w:val="auto"/>
        </w:rPr>
        <w:t xml:space="preserve">Rent expense was approximately $2.5 million, $3.4 million and $2.5 million for the years ended December 31, 2020, 2019 and 2018, respectively. </w:t>
      </w:r>
      <w:r>
        <w:rPr>
          <w:rFonts w:ascii="Arial" w:cs="Arial" w:eastAsia="Arial" w:hAnsi="Arial"/>
          <w:sz w:val="18"/>
          <w:szCs w:val="18"/>
          <w:b w:val="1"/>
          <w:bCs w:val="1"/>
          <w:i w:val="1"/>
          <w:iCs w:val="1"/>
          <w:color w:val="auto"/>
        </w:rPr>
        <w:t>Contractual Obligations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15, 2015, the Company entered into an agreement with a large physician practice where Privia would pay up to $5.0 million in exchange for a ten-year services agreement of which $4.0 million was paid in 2015. The remaining $1.0 million was due if the practice eliminated its ability to terminate the agreement on or before September 15, 2018. The option expired as it was not exercised by September 15, 2018. Accordingly, the Company recorded a $4.0 million asset in 2015 to be amortized over the ten-year period of the services agreement. The Company recorded approximately $0.4 million of amortization expense related to this asset for both the years ended December 31, 2019 and 2018. As of December 31, 2019, approximately $2.3 million is included in other long-term assets in the accompanying consolidated balance sheets. On June 24, 2020, the physician practice terminated their agreement and paid an early termination fee of $2.1 million, leaving no balance as of December 31, 2020.</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5, 2016, the Company entered into an agreement with a physician practice where the Company agreed to provide up to $2.5 million to help grow the practice. No amounts have been provided as of December 31, 2020 and 2019 under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purchase commitments of $2.2 million that will be coming due over the next three years.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involved, from time to time, in lawsuits arising in the normal course of business. We believe these pending lawsuits will not have a material adverse impact on our financial position or statement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financial instruments that are potentially subject to concentrations of credit risk consist primarily of cash, cash equivalents, and accounts receivable. While our cash and cash equivalents are managed by reputable financial institutions, the Company’s cash balances with the individual institutions may at times exceed the federally insured limits. At December 31, 2020, substantially all of the Company’s cash and cash equivalents were held at two financial institutions. The Company believes these financial institutions are financially sound and that minimal credit risk exists.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payment for medical services provided to patients by its physicians through contracts with payers. Six payers within the network accounted for approximately 75%, 74% and 69% of such payments for the years ended December 31, 2020, 2019 and 2018, respectively. The Company evaluates accounts receivable to determine if they will ultimately be collected. In performing this evaluation, significant judgments and estimates are involved, such as past experience, credit quality, age of the receivable balance and current economic conditions that may affect ability to pay. As of December 31, 2020, 2019 and 2018, the Company had six payers within the network that made up approximately 70%, 69% and 68%, respectively, of accounts receivable.</w:t>
      </w:r>
    </w:p>
    <w:p>
      <w:pPr>
        <w:spacing w:after="0" w:line="134"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net income (loss) available to common shareholders and the number of shares in the calculation of basic and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was calculated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share and per share amounts)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Privia Health Group, Inc.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95,950,062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95,931,549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95,880,506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Potentially dilutive stock options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Weighted average common share outstanding - diluted</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95,950,062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95,931,549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95,880,506</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Earnings per share attributable to Privia Health Group, Inc. common stockholders –</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treasury stock method is used to consider the effect of the potentially dilutive stock options. The following weighted-average outstanding shares of potentially dilutive securities were excluded from computation of diluted loss per share attributable to common shareholders for the period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stock options to purchase common shares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18,300,959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17,647,833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15,444,112</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18,300,959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17,647,833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15,444,112</w:t>
            </w:r>
          </w:p>
        </w:tc>
      </w:tr>
    </w:tbl>
    <w:p>
      <w:pPr>
        <w:spacing w:after="0" w:line="225"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Financial Information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Company determined in accordance with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that the Company operates in and reports as a single operating segment, which is to care for its patient’s needs. Operating segments are identified as components of an enterprise where separate discrete financial information is available for evaluation by the chief operating decision maker (“CODM”), or decision-making group, who reviews financial operating results on a regular basis for the purpose of allocating resources and evaluating financial performance.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about overall corporate resource allocation and to assess overall corporate profitability. As of December 31, 2020 and 2019, all of the Company’s long-lived assets were located in the United States and all revenue was earned in the United States.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720" w:type="dxa"/>
            <w:vAlign w:val="bottom"/>
          </w:tcPr>
          <w:p>
            <w:pPr>
              <w:ind w:left="360"/>
              <w:spacing w:after="0"/>
              <w:rPr>
                <w:sz w:val="20"/>
                <w:szCs w:val="20"/>
                <w:color w:val="auto"/>
              </w:rPr>
            </w:pPr>
            <w:r>
              <w:rPr>
                <w:rFonts w:ascii="Arial" w:cs="Arial" w:eastAsia="Arial" w:hAnsi="Arial"/>
                <w:sz w:val="18"/>
                <w:szCs w:val="18"/>
                <w:b w:val="1"/>
                <w:bCs w:val="1"/>
                <w:color w:val="auto"/>
              </w:rPr>
              <w:t>Condensed Financial Information (Parent Company Only)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7720" w:type="dxa"/>
            <w:vAlign w:val="bottom"/>
          </w:tcPr>
          <w:p>
            <w:pPr>
              <w:jc w:val="center"/>
              <w:ind w:left="2850"/>
              <w:spacing w:after="0"/>
              <w:rPr>
                <w:sz w:val="20"/>
                <w:szCs w:val="20"/>
                <w:color w:val="auto"/>
              </w:rPr>
            </w:pPr>
            <w:r>
              <w:rPr>
                <w:rFonts w:ascii="Arial" w:cs="Arial" w:eastAsia="Arial" w:hAnsi="Arial"/>
                <w:sz w:val="18"/>
                <w:szCs w:val="18"/>
                <w:b w:val="1"/>
                <w:bCs w:val="1"/>
                <w:color w:val="auto"/>
                <w:w w:val="94"/>
              </w:rPr>
              <w:t>Privia Health Group, Inc (“Parent”)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7720" w:type="dxa"/>
            <w:vAlign w:val="bottom"/>
          </w:tcPr>
          <w:p>
            <w:pPr>
              <w:jc w:val="center"/>
              <w:ind w:left="2850"/>
              <w:spacing w:after="0"/>
              <w:rPr>
                <w:sz w:val="20"/>
                <w:szCs w:val="20"/>
                <w:color w:val="auto"/>
              </w:rPr>
            </w:pPr>
            <w:r>
              <w:rPr>
                <w:rFonts w:ascii="Arial" w:cs="Arial" w:eastAsia="Arial" w:hAnsi="Arial"/>
                <w:sz w:val="18"/>
                <w:szCs w:val="18"/>
                <w:b w:val="1"/>
                <w:bCs w:val="1"/>
                <w:color w:val="auto"/>
                <w:w w:val="92"/>
              </w:rPr>
              <w:t>(Parent Company Only)</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720" w:type="dxa"/>
            <w:vAlign w:val="bottom"/>
          </w:tcPr>
          <w:p>
            <w:pPr>
              <w:jc w:val="center"/>
              <w:ind w:left="2830"/>
              <w:spacing w:after="0"/>
              <w:rPr>
                <w:sz w:val="20"/>
                <w:szCs w:val="20"/>
                <w:color w:val="auto"/>
              </w:rPr>
            </w:pPr>
            <w:r>
              <w:rPr>
                <w:rFonts w:ascii="Arial" w:cs="Arial" w:eastAsia="Arial" w:hAnsi="Arial"/>
                <w:sz w:val="18"/>
                <w:szCs w:val="18"/>
                <w:b w:val="1"/>
                <w:bCs w:val="1"/>
                <w:color w:val="auto"/>
                <w:w w:val="86"/>
              </w:rPr>
              <w:t>Condensed Balance Sheets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72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Due from affiliates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Investment in sub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114,212</w:t>
            </w:r>
          </w:p>
        </w:tc>
        <w:tc>
          <w:tcPr>
            <w:tcW w:w="0" w:type="dxa"/>
            <w:vAlign w:val="bottom"/>
          </w:tcPr>
          <w:p>
            <w:pPr>
              <w:spacing w:after="0"/>
              <w:rPr>
                <w:sz w:val="1"/>
                <w:szCs w:val="1"/>
                <w:color w:val="auto"/>
              </w:rPr>
            </w:pPr>
          </w:p>
        </w:tc>
      </w:tr>
      <w:tr>
        <w:trPr>
          <w:trHeight w:val="229"/>
        </w:trPr>
        <w:tc>
          <w:tcPr>
            <w:tcW w:w="300" w:type="dxa"/>
            <w:vAlign w:val="bottom"/>
            <w:tcBorders>
              <w:bottom w:val="single" w:sz="8" w:color="CCEEFF"/>
            </w:tcBorders>
          </w:tcPr>
          <w:p>
            <w:pPr>
              <w:spacing w:after="0"/>
              <w:rPr>
                <w:sz w:val="19"/>
                <w:szCs w:val="19"/>
                <w:color w:val="auto"/>
              </w:rPr>
            </w:pPr>
          </w:p>
        </w:tc>
        <w:tc>
          <w:tcPr>
            <w:tcW w:w="7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118,367</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146,748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119,868</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CCEEFF"/>
          </w:tcPr>
          <w:p>
            <w:pPr>
              <w:spacing w:after="0"/>
              <w:rPr>
                <w:sz w:val="15"/>
                <w:szCs w:val="15"/>
                <w:color w:val="auto"/>
              </w:rPr>
            </w:pPr>
          </w:p>
        </w:tc>
        <w:tc>
          <w:tcPr>
            <w:tcW w:w="7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0"/>
              </w:rPr>
              <w:t>Common stock, 0.01 par value, 150,000,000 shares authorized; 95,985,817 and 95,931,549 shares issued</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19"/>
                <w:szCs w:val="19"/>
                <w:color w:val="auto"/>
              </w:rPr>
            </w:pPr>
          </w:p>
        </w:tc>
        <w:tc>
          <w:tcPr>
            <w:tcW w:w="7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outstanding at December 31, 2020 and 2019, respectively</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165,666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160,375</w:t>
            </w: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119,868</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Privia Health Group, Inc. (“Parent”)</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income (loss) of subsidiaries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Summary Cash Flow Information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Parent received $15.4 million in cash inflows in 2018, $15.3 million related to APNA (see Note 11, “Related-Party Transactions”) and $0.1 million from a stock option exercise. Parent had cash outflows in 2018 of $13.4 million to related parties. This included $13.3 million in funding for related parties and $0.1 million in operating expenses. In 2019, Parent received $20 million of cash from related parties and repaid the APNA related party note of $14.6 million as well as paid $5.1 million in interest related to the APNA note and an additional $0.6 million of interest on other related party notes. Parent also paid $0.2 million in operating expenses. In 2020, Parent’s cash decreased by $1.0 million primarily due to cash outflows of $0.7 million related to tax withholding and interest payments of $0.4 million partially offset by cash inflows of $0.1 million related to the exercise of stock options.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Basis of Presentation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Parent is a holding company with no material operations of its own that conducts substantially all of its activities through its subsidiaries. Parent has no direct outstanding debt obligations. Parent owns 100% of PH Group Holdings Corp. However, PH Group Holdings Corp, a wholly owned subsidiary, as borrower under its 2019 Credit Agreement, was limited in its ability to declare dividends, fund a dividend or other distribution to the Parent. For a discussion of the 2019 Credit Agreement, refer to Note 7 “Note Payable”.</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condensed financial statements have been presented on a “parent-only” basis. Certain information and footnote disclosures normally included in financial statements prepared in accordance with GAAP have been condensed or omitted. As such, these parent-only statements should be read in conjunction with the accompanying notes to consolidated financial statements.</w:t>
      </w:r>
    </w:p>
    <w:p>
      <w:pPr>
        <w:spacing w:after="0" w:line="126"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evaluated subsequent events through March 16, 2021, representing the date on which the consolidated financial statements were issued.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6, 2021, the Board of Directors approved an Amended and Restated Certificate of Incorporation, which, among other matters, authorizes the Company to issue up to 1,000,000,000 shares of common stock, par value $0.01 per share and up to 100,000,000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Plan Modification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 2021, the Board of Directors approved a modification contingent upon the consummation of the IPO to the PH Group Parent Corp. Stock Option Plan to the vesting conditions of certain outstanding stock option grants to certain employees and consultants. The modification would accelerate by one year any time vested option that was not previously 100% vested and modify the vesting condition of the performance based options to vest 60% at IPO, 20% 12 months after IPO and 20% 18 months after IPO. The modification would also accelerate the CEO’s time based options an additional four months such that 100% of his time based options are vested. We expect to recognize stock-based compensation of $167.0 million in the second quarter of 2021 related to the modification and generate an additional $118.0 million of additional stock compensation expense over the eighteen months following the completion of the IPO.</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6, 2021, the Company approved the Privia Health Group, Inc. 2021 Omnibus Incentive Plan (the “Plan”) which permits awards up to 10% of our common stock issued and outstanding after the close of this offering. The Plan also allows for an automated increase on the first day of each fiscal year following the effective date of the Incentive Plan by an amount equal to the lesser of (i) 5% of outstanding shares on December 31 of the immediately preceding fiscal year or (ii) such number of shares as determined by our board of directors in its discretion. The Plan provides for the granting of stock options at a price equal to at least 100% of the fair market value of the Company’s Common Stock as of the date of grant. The Plan also provides for the granting of Stock Appreciation Rights, Restricted Stock, Restricted Stock Units, Performance Awards and other cash-based or other stock-based awards, all which must be granted at not less than the fair market value of the Company’s Stock as of the date of grant. Participants in the Plan may include employees, consultants, other service providers and non-employee directors. On the effective date of the IPO, the Company expects that 1,183,871 restricted stock units will be issued at the offering price and 3,683,217 options will be issued, with a strike price equal to the offering price, at the time of the offering. These issuances are expected to generate stock compensation of $62.3 million to be expensed over the next four years starting on the effective date of the IPO as both the restricted stock units and stock options vest.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Anthem Private Placement</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5, 2021, the Company entered into an agreement to sell $92.0 million of shares of our common stock to Anthem in a private placement exempt from registration under the U.S. Securities Act of 1933, as amended (the “Anthem Placement”). The price per share sold in the Anthem Placement will be the price per share to the public in this offering. The Anthem Placement is conditioned upon the closing of this offering and is expected to close on or up to 30 days after the closing of this offering. Accordingly, this offering is not contingent upon the closing of the Anthem Placement and there can be no assurance that the Anthem Placement will be consummated. The shares of common stock issued in the Anthem Placement will be subject to a 180-day lock-up agreement in favor of the underwriters substantially similar to the lock-up agreements entered into by our directors, executive officers and existing shareholders. Anthem has agreed with us not to transfer its shares of common stock for three years from the closing date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spacing w:after="0" w:line="14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Unaudited interim condensed consolidated financial statement of Privia Health Group,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0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84,633</w:t>
            </w:r>
          </w:p>
        </w:tc>
        <w:tc>
          <w:tcPr>
            <w:tcW w:w="0" w:type="dxa"/>
            <w:vAlign w:val="bottom"/>
          </w:tcPr>
          <w:p>
            <w:pPr>
              <w:spacing w:after="0"/>
              <w:rPr>
                <w:sz w:val="1"/>
                <w:szCs w:val="1"/>
                <w:color w:val="auto"/>
              </w:rPr>
            </w:pPr>
          </w:p>
        </w:tc>
      </w:tr>
      <w:tr>
        <w:trPr>
          <w:trHeight w:val="229"/>
        </w:trPr>
        <w:tc>
          <w:tcPr>
            <w:tcW w:w="768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99,118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6,333</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469,424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190,084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4,814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Right-of-use asset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5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5,980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118,663</w:t>
            </w:r>
          </w:p>
        </w:tc>
        <w:tc>
          <w:tcPr>
            <w:tcW w:w="0" w:type="dxa"/>
            <w:vAlign w:val="bottom"/>
          </w:tcPr>
          <w:p>
            <w:pPr>
              <w:spacing w:after="0"/>
              <w:rPr>
                <w:sz w:val="1"/>
                <w:szCs w:val="1"/>
                <w:color w:val="auto"/>
              </w:rPr>
            </w:pPr>
          </w:p>
        </w:tc>
      </w:tr>
      <w:tr>
        <w:trPr>
          <w:trHeight w:val="229"/>
        </w:trPr>
        <w:tc>
          <w:tcPr>
            <w:tcW w:w="7680" w:type="dxa"/>
            <w:vAlign w:val="bottom"/>
          </w:tcPr>
          <w:p>
            <w:pPr>
              <w:ind w:left="52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4,475</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138,885</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328,969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31,185</w:t>
            </w:r>
          </w:p>
        </w:tc>
        <w:tc>
          <w:tcPr>
            <w:tcW w:w="0" w:type="dxa"/>
            <w:vAlign w:val="bottom"/>
          </w:tcPr>
          <w:p>
            <w:pPr>
              <w:spacing w:after="0"/>
              <w:rPr>
                <w:sz w:val="1"/>
                <w:szCs w:val="1"/>
                <w:color w:val="auto"/>
              </w:rPr>
            </w:pPr>
          </w:p>
        </w:tc>
      </w:tr>
      <w:tr>
        <w:trPr>
          <w:trHeight w:val="229"/>
        </w:trPr>
        <w:tc>
          <w:tcPr>
            <w:tcW w:w="7680" w:type="dxa"/>
            <w:vAlign w:val="bottom"/>
          </w:tcPr>
          <w:p>
            <w:pPr>
              <w:ind w:left="520"/>
              <w:spacing w:after="0"/>
              <w:rPr>
                <w:sz w:val="20"/>
                <w:szCs w:val="20"/>
                <w:color w:val="auto"/>
              </w:rPr>
            </w:pPr>
            <w:r>
              <w:rPr>
                <w:rFonts w:ascii="Arial" w:cs="Arial" w:eastAsia="Arial" w:hAnsi="Arial"/>
                <w:sz w:val="16"/>
                <w:szCs w:val="16"/>
                <w:color w:val="auto"/>
              </w:rPr>
              <w:t>Physician and practice liability</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106,811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Current portion of note payable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30"/>
        </w:trPr>
        <w:tc>
          <w:tcPr>
            <w:tcW w:w="7680" w:type="dxa"/>
            <w:vAlign w:val="bottom"/>
          </w:tcPr>
          <w:p>
            <w:pPr>
              <w:ind w:left="52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146,938</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6"/>
                <w:szCs w:val="16"/>
                <w:color w:val="auto"/>
              </w:rPr>
              <w:t>Note payable, net of current portion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32,784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38,379</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185,317</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CEEFF"/>
          </w:tcPr>
          <w:p>
            <w:pPr>
              <w:ind w:left="460"/>
              <w:spacing w:after="0" w:line="169" w:lineRule="exact"/>
              <w:rPr>
                <w:sz w:val="20"/>
                <w:szCs w:val="20"/>
                <w:color w:val="auto"/>
              </w:rPr>
            </w:pPr>
            <w:r>
              <w:rPr>
                <w:rFonts w:ascii="Arial" w:cs="Arial" w:eastAsia="Arial" w:hAnsi="Arial"/>
                <w:sz w:val="16"/>
                <w:szCs w:val="16"/>
                <w:color w:val="auto"/>
                <w:w w:val="99"/>
              </w:rPr>
              <w:t>Common stock, $0.01 par value, 1,000,000,000 and 150,000,000 shares authorized; 106,234,792 and</w:t>
            </w: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7"/>
              </w:rPr>
              <w:t>95,985,817 shares issued and outstanding at September 30, 2021 and December 31, 2020, respectively</w:t>
            </w:r>
          </w:p>
        </w:tc>
        <w:tc>
          <w:tcPr>
            <w:tcW w:w="2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605,667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165,666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(19,878)</w:t>
            </w:r>
          </w:p>
        </w:tc>
        <w:tc>
          <w:tcPr>
            <w:tcW w:w="0" w:type="dxa"/>
            <w:vAlign w:val="bottom"/>
          </w:tcPr>
          <w:p>
            <w:pPr>
              <w:spacing w:after="0"/>
              <w:rPr>
                <w:sz w:val="1"/>
                <w:szCs w:val="1"/>
                <w:color w:val="auto"/>
              </w:rPr>
            </w:pPr>
          </w:p>
        </w:tc>
      </w:tr>
      <w:tr>
        <w:trPr>
          <w:trHeight w:val="223"/>
        </w:trPr>
        <w:tc>
          <w:tcPr>
            <w:tcW w:w="7680" w:type="dxa"/>
            <w:vAlign w:val="bottom"/>
          </w:tcPr>
          <w:p>
            <w:pPr>
              <w:ind w:left="460"/>
              <w:spacing w:after="0"/>
              <w:rPr>
                <w:sz w:val="20"/>
                <w:szCs w:val="20"/>
                <w:color w:val="auto"/>
              </w:rPr>
            </w:pPr>
            <w:r>
              <w:rPr>
                <w:rFonts w:ascii="Arial" w:cs="Arial" w:eastAsia="Arial" w:hAnsi="Arial"/>
                <w:sz w:val="16"/>
                <w:szCs w:val="16"/>
                <w:color w:val="auto"/>
              </w:rPr>
              <w:t>Total Privia Health Group, Inc. stockholders’ equity</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146,748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143,652</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328,969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3" w:name="page224"/>
    <w:bookmarkEnd w:id="22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September 30,</w:t>
            </w:r>
          </w:p>
        </w:tc>
        <w:tc>
          <w:tcPr>
            <w:tcW w:w="140" w:type="dxa"/>
            <w:vAlign w:val="bottom"/>
          </w:tcPr>
          <w:p>
            <w:pPr>
              <w:spacing w:after="0"/>
              <w:rPr>
                <w:sz w:val="16"/>
                <w:szCs w:val="16"/>
                <w:color w:val="auto"/>
              </w:rPr>
            </w:pPr>
          </w:p>
        </w:tc>
        <w:tc>
          <w:tcPr>
            <w:tcW w:w="28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603,376</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460"/>
              <w:spacing w:after="0"/>
              <w:rPr>
                <w:sz w:val="20"/>
                <w:szCs w:val="20"/>
                <w:color w:val="auto"/>
              </w:rPr>
            </w:pPr>
            <w:r>
              <w:rPr>
                <w:rFonts w:ascii="Arial" w:cs="Arial" w:eastAsia="Arial" w:hAnsi="Arial"/>
                <w:sz w:val="18"/>
                <w:szCs w:val="18"/>
                <w:color w:val="auto"/>
              </w:rPr>
              <w:t>Physician and practice expense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467,059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 of platform</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77,133</w:t>
            </w:r>
          </w:p>
        </w:tc>
        <w:tc>
          <w:tcPr>
            <w:tcW w:w="0" w:type="dxa"/>
            <w:vAlign w:val="bottom"/>
          </w:tcPr>
          <w:p>
            <w:pPr>
              <w:spacing w:after="0"/>
              <w:rPr>
                <w:sz w:val="1"/>
                <w:szCs w:val="1"/>
                <w:color w:val="auto"/>
              </w:rPr>
            </w:pPr>
          </w:p>
        </w:tc>
      </w:tr>
      <w:tr>
        <w:trPr>
          <w:trHeight w:val="229"/>
        </w:trPr>
        <w:tc>
          <w:tcPr>
            <w:tcW w:w="51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582,158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(198,089)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(Loss) income before benefit from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19,738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27,125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income per share attributable to Privia Health Group, Inc.</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 basic and diluted</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tcPr>
          <w:p>
            <w:pPr>
              <w:ind w:left="20"/>
              <w:spacing w:after="0" w:line="203" w:lineRule="exact"/>
              <w:rPr>
                <w:sz w:val="20"/>
                <w:szCs w:val="20"/>
                <w:color w:val="auto"/>
              </w:rPr>
            </w:pPr>
            <w:r>
              <w:rPr>
                <w:rFonts w:ascii="Arial" w:cs="Arial" w:eastAsia="Arial" w:hAnsi="Arial"/>
                <w:sz w:val="18"/>
                <w:szCs w:val="18"/>
                <w:color w:val="auto"/>
                <w:w w:val="96"/>
              </w:rPr>
              <w:t>Weighted average common shares outstanding – basic and diluted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105,896,622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95,950,929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101,576,775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95,945,804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Stockholders’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attributable to</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Additional Paid-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Privia Health</w:t>
            </w:r>
          </w:p>
        </w:tc>
        <w:tc>
          <w:tcPr>
            <w:tcW w:w="11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2"/>
                <w:szCs w:val="12"/>
                <w:color w:val="auto"/>
              </w:rPr>
            </w:pPr>
          </w:p>
        </w:tc>
        <w:tc>
          <w:tcPr>
            <w:tcW w:w="92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in Capital</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Group, Inc.</w:t>
            </w: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6"/>
                <w:szCs w:val="16"/>
                <w:color w:val="auto"/>
              </w:rPr>
            </w:pPr>
          </w:p>
        </w:tc>
        <w:tc>
          <w:tcPr>
            <w:tcW w:w="920" w:type="dxa"/>
            <w:vAlign w:val="bottom"/>
          </w:tcPr>
          <w:p>
            <w:pPr>
              <w:jc w:val="center"/>
              <w:ind w:right="4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95,931,549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160,375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(51,122)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110,212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107,456</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w:t>
            </w:r>
          </w:p>
        </w:tc>
        <w:tc>
          <w:tcPr>
            <w:tcW w:w="0" w:type="dxa"/>
            <w:vAlign w:val="bottom"/>
          </w:tcPr>
          <w:p>
            <w:pPr>
              <w:spacing w:after="0"/>
              <w:rPr>
                <w:sz w:val="1"/>
                <w:szCs w:val="1"/>
                <w:color w:val="auto"/>
              </w:rPr>
            </w:pPr>
          </w:p>
        </w:tc>
      </w:tr>
      <w:tr>
        <w:trPr>
          <w:trHeight w:val="186"/>
        </w:trPr>
        <w:tc>
          <w:tcPr>
            <w:tcW w:w="352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95,931,549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160,496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(45,708)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115,747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112,906</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5,281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5,196</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95,931,549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160,617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121,149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118,223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ind w:left="5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Borders>
              <w:top w:val="single" w:sz="8" w:color="CCEEFF"/>
            </w:tcBorders>
            <w:vMerge w:val="continue"/>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2"/>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Stock option 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16,685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16,685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16,600</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95,985,817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160,845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138,063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135,052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95,985,817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165,666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146,748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143,652</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5,398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w:t>
            </w:r>
          </w:p>
        </w:tc>
        <w:tc>
          <w:tcPr>
            <w:tcW w:w="0" w:type="dxa"/>
            <w:vAlign w:val="bottom"/>
          </w:tcPr>
          <w:p>
            <w:pPr>
              <w:spacing w:after="0"/>
              <w:rPr>
                <w:sz w:val="1"/>
                <w:szCs w:val="1"/>
                <w:color w:val="auto"/>
              </w:rPr>
            </w:pPr>
          </w:p>
        </w:tc>
      </w:tr>
      <w:tr>
        <w:trPr>
          <w:trHeight w:val="186"/>
        </w:trPr>
        <w:tc>
          <w:tcPr>
            <w:tcW w:w="352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95,985,817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165,767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(14,480)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152,247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149,369</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520" w:type="dxa"/>
            <w:vAlign w:val="bottom"/>
            <w:shd w:val="clear" w:color="auto" w:fill="CCEEFF"/>
          </w:tcPr>
          <w:p>
            <w:pPr>
              <w:ind w:left="560"/>
              <w:spacing w:after="0" w:line="102" w:lineRule="exact"/>
              <w:rPr>
                <w:sz w:val="20"/>
                <w:szCs w:val="20"/>
                <w:color w:val="auto"/>
              </w:rPr>
            </w:pPr>
            <w:r>
              <w:rPr>
                <w:rFonts w:ascii="Arial" w:cs="Arial" w:eastAsia="Arial" w:hAnsi="Arial"/>
                <w:sz w:val="11"/>
                <w:szCs w:val="11"/>
                <w:color w:val="auto"/>
              </w:rPr>
              <w:t>Issuance of common stock upon closing of initial</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9,725,000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210,897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210,994</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210,994</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public offering</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20" w:type="dxa"/>
            <w:vAlign w:val="bottom"/>
          </w:tcPr>
          <w:p>
            <w:pPr>
              <w:ind w:left="560"/>
              <w:spacing w:after="0" w:line="135" w:lineRule="exact"/>
              <w:rPr>
                <w:sz w:val="20"/>
                <w:szCs w:val="20"/>
                <w:color w:val="auto"/>
              </w:rPr>
            </w:pPr>
            <w:r>
              <w:rPr>
                <w:rFonts w:ascii="Arial" w:cs="Arial" w:eastAsia="Arial" w:hAnsi="Arial"/>
                <w:sz w:val="14"/>
                <w:szCs w:val="14"/>
                <w:color w:val="auto"/>
                <w:w w:val="95"/>
              </w:rPr>
              <w:t>Issuance of common stock upon exercise of stock</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29,645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options and vesting of restricted stock units</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202,560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202,560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202,560</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(172,534)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(172,534)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(173,485)</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105,740,462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579,257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393,300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389,471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560"/>
              <w:spacing w:after="0" w:line="122" w:lineRule="exact"/>
              <w:rPr>
                <w:sz w:val="20"/>
                <w:szCs w:val="20"/>
                <w:color w:val="auto"/>
              </w:rPr>
            </w:pPr>
            <w:r>
              <w:rPr>
                <w:rFonts w:ascii="Arial" w:cs="Arial" w:eastAsia="Arial" w:hAnsi="Arial"/>
                <w:sz w:val="14"/>
                <w:szCs w:val="14"/>
                <w:color w:val="auto"/>
                <w:w w:val="95"/>
              </w:rPr>
              <w:t>Issuance of common stock upon exercise of stock</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520" w:type="dxa"/>
            <w:vAlign w:val="bottom"/>
            <w:vMerge w:val="continue"/>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494,330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610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options and vesting of restricted stock units</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25,800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25,800</w:t>
            </w:r>
          </w:p>
        </w:tc>
        <w:tc>
          <w:tcPr>
            <w:tcW w:w="0" w:type="dxa"/>
            <w:vAlign w:val="bottom"/>
          </w:tcPr>
          <w:p>
            <w:pPr>
              <w:spacing w:after="0"/>
              <w:rPr>
                <w:sz w:val="1"/>
                <w:szCs w:val="1"/>
                <w:color w:val="auto"/>
              </w:rPr>
            </w:pPr>
          </w:p>
        </w:tc>
      </w:tr>
      <w:tr>
        <w:trPr>
          <w:trHeight w:val="186"/>
        </w:trPr>
        <w:tc>
          <w:tcPr>
            <w:tcW w:w="3520" w:type="dxa"/>
            <w:vAlign w:val="bottom"/>
          </w:tcPr>
          <w:p>
            <w:pPr>
              <w:ind w:left="56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106,234,792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605,667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410,600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404,995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(178,760)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27,125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Deferred tax benefit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 and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Physician and practice liability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from investing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Proceeds from initial public offering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223,686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of underwriting fees, net of discounts and offering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Repayment of note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exercised stock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revolving loan</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Line of credit payments</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277,479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41,302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88,191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ind w:left="140"/>
              <w:spacing w:after="0" w:line="203" w:lineRule="exact"/>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6" w:name="page227"/>
    <w:bookmarkEnd w:id="22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3"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Privia Health Group, Inc. (NASDAQ: PRVA) (“we”, “our” the “Company”), became the sole shareholder of PH Group Holdings Corp. (“PH Holdings”) (formerly Brighton Health Services Holding Corporation) effective August 11, 2016. At the time, the Company was a wholly owned subsidiary of Brighton Health Group Holdings, LLC (“BHG Holdings”) (formerly MC Acquisition Holdings I, LLC, HoldCo).</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the same operational and financial model in each market. As of September 30, 2021, Privia operates in six markets: 1) the Mid-Atlantic Region (states of Virginia, Maryland and the District of Columbia); 2) the state of Georgia; 3) the Gulf Coast Region (Houston, Texas); 4) North Texas (Dallas/Fort Worth, Texas); 5) Central Florida and 6) the state of Tennessee.</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Medical groups are formed in each market with the primary purpose to operate as a physician group practice with healthcare services being furnished through physician members (“Privia Physicians”) and non-physician clinicians (together, “Privia Providers”) supervised by Privia Physicians.</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forms local management companies to provide administrative and management services (“MSOs”) to the medical groups through a Management Services Agreement (“MSA”) in each market. The Company owns 100% of all MSOs, except two where the Company is at least the majority owner.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3, 2021, the Company closed its initial public offering (“IPO”) of 22,425,000 shares of the Company’s common stock, $0.01 par value per share, at an offering price of $23.00 per share. On May 3, 2021, the Company also sold 4,000,000 shares to an affiliate of Anthem, Inc. (“Anthem”) in a private placement. In aggregate, the shares issued in the offering and Anthem private placement generated gross proceeds of $223.7 million and $211.0 million in net proceeds, which is net of underwriters’ discounts and commissions, and other offering costs.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condensed consolidated financial statements are prepared in accordance with United States generally accepted accounting principles (“GAAP”) and include the accounts of the Company and its subsidiaries. Amounts shown on the condensed consolidated statements of operations within the operating expense categories of physician and practice expense, cost of platform, selling and marketing, and general and administrative are recorded exclusive of depreciation and amortization.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are eliminated in consolidation.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operations for the three and nine months ended September 30, 2021, are not indicative of the results to be expected for the full fiscal year ending December 31, 2021. The condensed balance sheet at December 31, 2020, was derived from audited annual financial statements but does not contain all of the footnote disclosures from the annual financial statements. In the opinion of management, all adjustments (consisting of only normal and recurring adjustments) considered necessary for a fair statement have been included.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Variable Interest Entities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Privia Physicians join the medical group in their geographic market as an owner of such medical group. Certain of our medical groups are majority-owned by the Company (each, an “Owned Medical Group”), with Privia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Physicians owning a minority interest, and some medical groups are owned entirely by Privia Physicians (each, a “Non-Owned Medical Group”). The Company evaluated its relationship with Non-Owned Medical Groups and their historic practice entities (the “Affiliated Practices”) as well as its relationship with Affiliated Practices associated with Owned Medical Groups to determine if any of these entities should be subject to consolidation. The Company does not have ownership interest in any Affiliated Practices; nor does the Company have an ownership in Non-Owned Medical Groups. The Physician Member Services Agreement (“PMSA”) and Support Services Agreement (“SSA”) entered by Non-Owned Medical Groups with their Privia Physician members and the Affiliated Practices are not contractual relationships within Privia’s legal structure. The only contractual relationship between Privia and Non-Owned Medical Groups is established through the MSA. Management has determined, based on the provisions of the MSAs between the Company and Non-Owned Medical Groups, and after considering the requirements of Accounting Standards Codification (“ASC”) Topic 810, Consolidation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w:t>
      </w:r>
    </w:p>
    <w:p>
      <w:pPr>
        <w:spacing w:after="0" w:line="12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Based on the Company’s evaluations, Non-Owned Medical Groups do not represent VIEs. Accordingly, the Company has not consolidated the financial position, results of operations or cash flows of the Non-Owned Medical Groups that are affiliated with the Company by means of a SSA for the nine months ended September 30, 2021 and 2020. Each time the Company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SSAs, and the Company determined they do not represent VIEs as they do not meet the criteria in ASC 810.</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emerging growth company under the Jumpstart Our Business Startups Act (the “JOBS Act”). The JOBS Act provides that an emerging growth company can delay adopting new or revised accounting standards until such time as those standards apply to private companies. We have irrevocably elected to avail ourselves of this exemption and, therefore, we will not be subject to the same new or revised accounting standards as other public companies that are not emerging growth companies.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Sarbanes-Oxley Act of 2002,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(“PCAOB”) regarding mandatory audit firm rotation or a supplement to the auditor’s report providing additional information about the audit and the financial statements (auditor discussion and analysis), and (iv) hold non-binding advisory votes on executive compensation and obtain shareholder approval of any golden parachute payments not previously approved. These exemptions will apply for a period of five years following the completion of our IPO or until we are no longer an “emerging growth company,” whichever is earlier.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liabilities, revenue, expenses, and related disclosure. On an on-going basis we evaluate significant estimates and assumptions, including, but not limited to,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evaluates and updates assumptions and estimates on an ongoing basis. Actual results may differ from these estimates under different assumptions or conditions.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Segments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determined in accordance with ASC 280, Segment Reporting (“ASC 280”) that the Company operates in and reports as a single operating segment, and therefore one reporting segment – Privia Health Group, Inc. Refer to Note 14 “Segment Financial Information” for additional information concerning the Company’s services.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Coronavirus Aid, Relief and Economic Stimulus Act (“CARES Act”)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current COVID-19 pandemic had an impact on our results of operations, cash flow and financial position for the three and nine months ended and as of September 30, 2021 and 2020, as we experienced lower volumes than anticipated and shifts in the mix of services provided after the onset of the pandemic in the United States. See the Prospectus for additional information on impacts during 2020. We are closely monitoring the impact of the pandemic on all aspects of our business including impacts to employees, customers, patients, suppliers and vendors.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the Company and its subsidiaries as a result of specific provisions of the CARES Act for the three and nine month periods ended September 30, 2021:</w:t>
      </w:r>
    </w:p>
    <w:p>
      <w:pPr>
        <w:spacing w:after="0" w:line="133" w:lineRule="exact"/>
        <w:rPr>
          <w:sz w:val="20"/>
          <w:szCs w:val="20"/>
          <w:color w:val="auto"/>
        </w:rPr>
      </w:pPr>
    </w:p>
    <w:p>
      <w:pPr>
        <w:jc w:val="both"/>
        <w:ind w:left="660" w:hanging="328"/>
        <w:spacing w:after="0" w:line="263"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elected to defer its portion of Social Security taxes in 2020, which may be repaid over two years as follows: 50% by the end of 2021 and 50% by the end of 2022. Approximately $1.6 million is recorded in accrued expenses on the balance sheet as of September 30, 2021 related to this deferral and the Company intends to remit payment by the end of 2021;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received $13.3 million in grant funds from the Provider Relief Fund under the CARES Act during the nine months ended September 30, 2020. No funds were received from the Provider Relief Fund under the CARES Act during the nine months ended September 30, 2021.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Non-Controlling Interest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non-controlling interest represents the equity interest of the non-controlling equity holders in results of operations of Complete MD Solutions LLC, Privia Management Services Organization (“PMSO”) and our Owned Medical Groups. The condensed consolidated financial statements include all assets, liabilities, revenues, and expenses of less-than-100%-owned affiliates where the Company has a controlling financial interest. The Company has separately reflected net income attributable to the non-controlling interests in net income in the condensed consolidated statements of operations.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described its significant accounting policies in Note 1 of the notes to condensed consolidated financial statements for the year ended December 31, 2020 in the Prospectus. During the three and nine months ended September 30, 2021, there were no significant changes to those accounting policies, other than those policies impacted by the new accounting pronouncements adopted during the period noted below and further described below in “Recently Adopted Accounting Pronouncements.”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Beginning January 1, 2021, the Company accounts for its leases in accordance with ASU 2016-2, Leases (Topic 842). The Company evaluates whether a contract is or contains a lease at the inception of the contract. Upon lease commencement, which is defined as the date on which a lessor makes the underlying asset available to the Company for use, the Company classifies the lease as either an operating or finance lease. The Company’s leases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consist of operating leases for office space in certain states in which we operate. The Company also has operating leases for equipment, which are not significant.</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Company’s obligation to make lease payments arising from the lease. Lease liabilities are measured at the present value of the remaining, fixed lease payments at lease commencement. The Company uses its incremental borrowing rate, adjusted for the effects of collateralization, based on the information available at the later of adoption, inception, or modification in determining the present value of lease payments. Right-of-use assets are measured at an amount equal to the initial lease liability, plus any prepaid lease payments (less any incentives received) and initial direct costs, at the lease commencement date. The Company has elected to account for lease and non-lease components as a single lease component for its facility leases. As a result, the fixed payments that would otherwise be allocated to the non-lease components are accounted for as lease payments and are included in the measurement of the Company’s right-of-use asset and lease liability. Lease expense for lease payments is recognized on a straight-line basis over the lease term in general and administrative expense on the condensed consolidated statements of operations.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adopted Accounting Standards Update (“ASU”) 2016-02, Leases (Topic 842), as of January 1, 2021 using the modified retrospective transition approach for leases which existed on that date. Prior comparative periods were not adjusted and continue to be reported in accordance with Accounting Standards Codification (“ASC”) Topic 840, Leases. The Company elected the package of practical expedients that permitted the Company not to reassess the Company’s prior conclusions about lease identification, lease classification and initial direct costs. The Company did not elect the use-of-hindsight practical expedient. The adoption of the standard resulted in the recognition of operating right-of-use assets of approximately $6.0 million and operating lease liabilities of approximately $11.3 million. Refer to Note 4 “Leases” for additional details. The difference between the operating lease right-of-use assets and operating lease liabilities resulted from the reclassification of deferred rent. Adoption of the standard did not have a material impact on the consolidated statements of operations or cash flows for the three months and nine months ended September 30, 2021. The Company did not recognize a cumulative-effect adjustment to retained earnings upon adoption.</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January 1, 2021, the Company adopted ASU 2016-13, Financial Instruments – </w:t>
      </w:r>
      <w:r>
        <w:rPr>
          <w:rFonts w:ascii="Arial" w:cs="Arial" w:eastAsia="Arial" w:hAnsi="Arial"/>
          <w:sz w:val="16"/>
          <w:szCs w:val="16"/>
          <w:i w:val="1"/>
          <w:iCs w:val="1"/>
          <w:color w:val="auto"/>
        </w:rPr>
        <w:t>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(“CECL”)</w:t>
      </w:r>
      <w:r>
        <w:rPr>
          <w:rFonts w:ascii="Arial" w:cs="Arial" w:eastAsia="Arial" w:hAnsi="Arial"/>
          <w:sz w:val="16"/>
          <w:szCs w:val="16"/>
          <w:color w:val="auto"/>
        </w:rPr>
        <w:t>, which replaces the incurred loss approach for recognizing credit losses on financial instruments with an expected loss</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 The expected loss approach is subject to management judgments using assessments of incurred credit losses, assessments of current conditions, and forecasts using reasonable and supportable assumptions. The Company adopted the standard using a modified retrospective approach which resulted in no adjustments to the allowance for credit losses and no cumulative-effect adjustment to retained earnings. The Company regularly reviews the adequacy of the allowance for credit losses based on a combination of factors, including historical losses adjusted for current market conditions, the Company's customers' financial condition, delinquency trends, aging behaviors of receivables and credit and liquidity indicators for industry groups, and future market and economic conditions. As of September 30, 2021, the allowance for credit losses was not material.</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Pending Adoption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2020, the FASB issued ASU 2019-12, Income Taxes (Topic 740): Simplifying the Accounting for Income Taxes (ASU 2019-12). ASU 2019-12 eliminates certain exceptions related to the approach for intra period tax allocation, the methodology for calculating income taxes in an interim period and the recognition of deferred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outside basis differences. It also clarifies and simplifies other aspects of the accounting for income taxes. This guidance is effective for the Company for the year ending December 31, 2022. Early adoption is permitted. The Company is currently evaluating the impact of ASU 2019-12 on its condensed consolidated financial statements.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March 2020,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Credit Facilities bear interest based on LIBOR or an alternate rate. Provisions currently provide the Company with the ability to replace LIBOR with a different reference rate in the event that LIBOR ceases to exist.</w:t>
      </w:r>
    </w:p>
    <w:p>
      <w:pPr>
        <w:spacing w:after="0" w:line="121"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474,816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42,663</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Care management fees (PMPM)</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20,320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603,376</w:t>
            </w:r>
          </w:p>
        </w:tc>
      </w:tr>
      <w:tr>
        <w:trPr>
          <w:trHeight w:val="21"/>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Fee-for-service (“FFS”) patient care is primarily generated from third-party payers with which the Company has established contractual billing arrangements. The following table presents the approximate percentages by source of net operating revenue received for healthcare services we provided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460" w:type="dxa"/>
            <w:vAlign w:val="bottom"/>
            <w:gridSpan w:val="4"/>
          </w:tcPr>
          <w:p>
            <w:pPr>
              <w:ind w:left="320"/>
              <w:spacing w:after="0"/>
              <w:rPr>
                <w:sz w:val="20"/>
                <w:szCs w:val="20"/>
                <w:color w:val="auto"/>
              </w:rPr>
            </w:pPr>
            <w:r>
              <w:rPr>
                <w:rFonts w:ascii="Arial" w:cs="Arial" w:eastAsia="Arial" w:hAnsi="Arial"/>
                <w:sz w:val="14"/>
                <w:szCs w:val="14"/>
                <w:b w:val="1"/>
                <w:bCs w:val="1"/>
                <w:color w:val="auto"/>
              </w:rPr>
              <w:t>For the Three Months Ended September 30,</w:t>
            </w:r>
          </w:p>
        </w:tc>
        <w:tc>
          <w:tcPr>
            <w:tcW w:w="33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442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insurers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Government payers</w:t>
            </w: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Patient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44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FFS-administrative services revenue is earned through the Company’s MSA with Non-Owned Medical Groups primarily based on a fixed percentage of net collections on patient care generated by those medical groups.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Value Based Care (“VBC”) revenue is generated through per member per month Care management fee (“PMPM”) payments, from payers to provide care coordination services to patients and through shared savings contracts with large commercial payer organizations and the U.S. Federal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Asset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the following contract assets and unearned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December 31, 2020</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for contracts with customers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98,384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99,118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Unearned revenue is presented on the condensed consolidated balance sheet under other current liabilities and represent payments made to, or due from, customers in advance of our performance. All contracts are less than or equal to twelve months. Changes in the balance of total deferred revenue during the nine months ended September 30,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6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Additions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September 30, 2021, the Company recognized approximately $0.2 million and $1.1 million, respectively, of revenue related to amounts unearned as of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our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revenue. The Company has minimal unsatisfied performance obligations at the end of the reporting period as our patients typically are under no obligation to continue receiving services at our facilities.</w:t>
      </w:r>
    </w:p>
    <w:p>
      <w:pPr>
        <w:spacing w:after="0" w:line="129"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purposes of the goodwill impairment assessment, the Company as a whole is considered to be the reporting unit. The fair value of the reporting unit is estimated using a combination of three approaches, all equally weighted: a) discounted cash flow analysis (income approach), b) fair value of comparable transactions (transaction approach) and c) enterprise value to revenue multiple for comparable companies (market approach). Potential impairment is indicated when the carrying value of a reporting unit exceeds its estimated fair value. The Company’s carrying value of goodwill at September 30, 2021 and December 31, 2020 is approximately $118.7 million. The most recently completed annual impairment test of goodwill was performed as of October 1, 2020 and the fair value of the reporting unit exceeded the carrying value and therefore it was determined that no impairment existed. No indicators of impairment were identified during the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intangible assets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272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5"/>
              <w:spacing w:after="0" w:line="135" w:lineRule="exact"/>
              <w:rPr>
                <w:sz w:val="20"/>
                <w:szCs w:val="20"/>
                <w:color w:val="auto"/>
              </w:rPr>
            </w:pPr>
            <w:r>
              <w:rPr>
                <w:rFonts w:ascii="Arial" w:cs="Arial" w:eastAsia="Arial" w:hAnsi="Arial"/>
                <w:sz w:val="14"/>
                <w:szCs w:val="14"/>
                <w:b w:val="1"/>
                <w:bCs w:val="1"/>
                <w:color w:val="auto"/>
              </w:rPr>
              <w:t>Intangible</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5"/>
              <w:spacing w:after="0" w:line="135" w:lineRule="exact"/>
              <w:rPr>
                <w:sz w:val="20"/>
                <w:szCs w:val="20"/>
                <w:color w:val="auto"/>
              </w:rPr>
            </w:pPr>
            <w:r>
              <w:rPr>
                <w:rFonts w:ascii="Arial" w:cs="Arial" w:eastAsia="Arial" w:hAnsi="Arial"/>
                <w:sz w:val="14"/>
                <w:szCs w:val="14"/>
                <w:b w:val="1"/>
                <w:bCs w:val="1"/>
                <w:color w:val="auto"/>
              </w:rPr>
              <w:t>Intangible</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PMG customer relationships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Service Agreement (Complete MD)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color w:val="auto"/>
                <w:w w:val="91"/>
              </w:rPr>
              <w:t>(4,402)</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weighted average life of all amortizable intangible assets is approximately 10 years at September 30, 2021.</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intangible assets was approximately $0.2 million for both the three months ended September 30, 2021 and 2020, respectively, and $0.5 million for both the nine months ended September 30, 2021 and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amortization expense for the Company’s intangible assets for the following five years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(Dollars in Thousands)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leases office space under various operating lease agreements. The initial terms of these leases range from 2 to 7 years and generally provide for periodic rent increases and renewal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 the Three Months</w:t>
            </w:r>
          </w:p>
        </w:tc>
        <w:tc>
          <w:tcPr>
            <w:tcW w:w="160" w:type="dxa"/>
            <w:vAlign w:val="bottom"/>
          </w:tcPr>
          <w:p>
            <w:pPr>
              <w:spacing w:after="0"/>
              <w:rPr>
                <w:sz w:val="14"/>
                <w:szCs w:val="14"/>
                <w:color w:val="auto"/>
              </w:rPr>
            </w:pPr>
          </w:p>
        </w:tc>
        <w:tc>
          <w:tcPr>
            <w:tcW w:w="1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For the Nine Months</w:t>
            </w:r>
          </w:p>
        </w:tc>
        <w:tc>
          <w:tcPr>
            <w:tcW w:w="0" w:type="dxa"/>
            <w:vAlign w:val="bottom"/>
          </w:tcPr>
          <w:p>
            <w:pPr>
              <w:spacing w:after="0"/>
              <w:rPr>
                <w:sz w:val="1"/>
                <w:szCs w:val="1"/>
                <w:color w:val="auto"/>
              </w:rPr>
            </w:pPr>
          </w:p>
        </w:tc>
      </w:tr>
      <w:tr>
        <w:trPr>
          <w:trHeight w:val="135"/>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Ended September 30,</w:t>
            </w:r>
          </w:p>
        </w:tc>
        <w:tc>
          <w:tcPr>
            <w:tcW w:w="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8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Ended September 30, 2021</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 operating leases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 Years</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future lease payments for operating leases in the years subsequent to September 30,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rPr>
              <w:t>2022</w:t>
            </w:r>
          </w:p>
        </w:tc>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rPr>
              <w:t>2024</w:t>
            </w:r>
          </w:p>
        </w:tc>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Imputed interest</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75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A summary of the Company’s property and equipment, net is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8"/>
              </w:rPr>
              <w:t>1,110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9"/>
                <w:szCs w:val="19"/>
                <w:color w:val="auto"/>
              </w:rPr>
            </w:pPr>
          </w:p>
        </w:tc>
        <w:tc>
          <w:tcPr>
            <w:tcW w:w="1420" w:type="dxa"/>
            <w:vAlign w:val="bottom"/>
          </w:tcPr>
          <w:p>
            <w:pPr>
              <w:jc w:val="center"/>
              <w:ind w:left="773"/>
              <w:spacing w:after="0"/>
              <w:rPr>
                <w:sz w:val="20"/>
                <w:szCs w:val="20"/>
                <w:color w:val="auto"/>
              </w:rPr>
            </w:pPr>
            <w:r>
              <w:rPr>
                <w:rFonts w:ascii="Arial" w:cs="Arial" w:eastAsia="Arial" w:hAnsi="Arial"/>
                <w:sz w:val="18"/>
                <w:szCs w:val="18"/>
                <w:color w:val="auto"/>
                <w:w w:val="88"/>
              </w:rPr>
              <w:t>1,430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8"/>
              </w:rPr>
              <w:t>4,827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left="773"/>
              <w:spacing w:after="0"/>
              <w:rPr>
                <w:sz w:val="20"/>
                <w:szCs w:val="20"/>
                <w:color w:val="auto"/>
              </w:rPr>
            </w:pPr>
            <w:r>
              <w:rPr>
                <w:rFonts w:ascii="Arial" w:cs="Arial" w:eastAsia="Arial" w:hAnsi="Arial"/>
                <w:sz w:val="18"/>
                <w:szCs w:val="18"/>
                <w:color w:val="auto"/>
                <w:w w:val="88"/>
              </w:rPr>
              <w:t>7,367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753"/>
              <w:spacing w:after="0"/>
              <w:rPr>
                <w:sz w:val="20"/>
                <w:szCs w:val="20"/>
                <w:color w:val="auto"/>
              </w:rPr>
            </w:pPr>
            <w:r>
              <w:rPr>
                <w:rFonts w:ascii="Arial" w:cs="Arial" w:eastAsia="Arial" w:hAnsi="Arial"/>
                <w:sz w:val="18"/>
                <w:szCs w:val="18"/>
                <w:color w:val="auto"/>
                <w:w w:val="94"/>
              </w:rPr>
              <w:t>(3,026)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center"/>
              <w:ind w:left="773"/>
              <w:spacing w:after="0"/>
              <w:rPr>
                <w:sz w:val="20"/>
                <w:szCs w:val="20"/>
                <w:color w:val="auto"/>
              </w:rPr>
            </w:pPr>
            <w:r>
              <w:rPr>
                <w:rFonts w:ascii="Arial" w:cs="Arial" w:eastAsia="Arial" w:hAnsi="Arial"/>
                <w:sz w:val="18"/>
                <w:szCs w:val="18"/>
                <w:color w:val="auto"/>
                <w:w w:val="88"/>
              </w:rPr>
              <w:t>4,341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Bonuses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77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Note Payable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40" w:type="dxa"/>
            <w:vAlign w:val="bottom"/>
            <w:vMerge w:val="continue"/>
          </w:tcPr>
          <w:p>
            <w:pPr>
              <w:spacing w:after="0"/>
              <w:rPr>
                <w:sz w:val="24"/>
                <w:szCs w:val="24"/>
                <w:color w:val="auto"/>
              </w:rPr>
            </w:pPr>
          </w:p>
        </w:tc>
        <w:tc>
          <w:tcPr>
            <w:tcW w:w="7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The Company’s Credit Facilities consists of the following:</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Less debt issuance costs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Note payable,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32,784</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15, 2019, the Company entered into a Credit Agreement (the “Original Credit Agreement”) by and among Privia Health, LLC, as the borrower, PH Group Holdings Corp., as a guarantor, certain subsidiaries of Privia Health, LLC, as guarantors, Silicon Valley Bank, as administrative agent and collateral agent (the “Administrative Agent”), and the several lenders from time to time party thereto. The Original Credit Agreement provided for up to $35.0 million in term loans (the “Term Loan Facility”) that mature on November 15, 2024 with interest payable monthly at the lesser of LIBOR plus 2.0% or ABR plus 1.0% payable monthly (3.0% at September 30, 2021), plus up to an additional $10.0 million of financing (which was increased to $15.0 million in connection with the first amendment) in the form of a revolving loan (the “Revolving Loan Facility” and together with the Term Loan Facility, the “Credit Facilities”). The Revolving Loan Facility also includes a letter of credit sub-facility in the aggregate availability amount of $2.0 million and a swingline sub-facility in the aggregate availability amount of $2.0 million. The Company borrowed $35.0 million in term loans on November 15, 2019.</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27, 2021, the Company and certain of its subsidiaries entered into an assumption agreement and third amendment (the “Third Amendment”) to the Original Credit Agreement (as amended by the Third Amendment, the “Credit Agreement”). Pursuant to the Third Amendment, the Company became the parent guarantor under the Credit Agreement and granted the Administrative Agent a first-priority security interest on substantially all of its real and personal property, subject to permitted liens.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Third Amendment increased the size of the Revolving Loan Facility to $65.0 million, increased the letter of credit sub-facility to $5.0 million and extended the maturity date of the Credit Agreement to August 27, 2026. As amended, borrowings under the Credit Agreement bear interest at a rate equal to (i) in the case of eurodollar loans, LIBOR plus an applicable margin, subject to a 0.5% floor, and (ii) in the case of ABR loans, an ABR rate plus an applicable margin, subject to a floor of 1.5%. In addition, the Amendment, among other things, (i) changed the Term Loan Facility amortization schedule to 0.625% of the original principal amount of term loans for the fiscal quarters ending September 30, 2021 through and including June 30, 2024 and 1.25% of the original principal amount of term loans for the fiscal quarters ending thereafter and (ii) added a 1.0% prepayment premium for any term loans prepaid within six months of the effective date of the Third Amendment. The Third Amendment converted the financial covenants in the Original Credit Agreement to “springing” financial covenants, so that at any time the Company’s cash is less than 125% of the outstanding borrowings under the Credit Facilities, or at least $15.0 million of borrowings are outstanding under the Revolving Loan, the Company will be required to maintain (i) a consolidated fixed charge coverage ratio of not less than 1.25 to 1.0, and (ii) a consolidated leverage ratio of no more than 3.0 to 1.0. As of September 30, 2021, the Company had $33.5 million in principal amount of indebtedness outstanding under the Term Loan Facility. As of September 30, 2021, “springing” financial covenants were not applicable.</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March 2020, the Company borrowed $10.0 million under the Revolving Loan Facility, which bore interest at the lesser of LIBOR + 2.5% or ABR + 1.5% payable monthly. These borrowings were repaid in 2020 with $5.0 million repaid in July 2020 and $5.0 million repaid in September 2020. On August 30, 2021, the Company increased its capacity under the Revolving Loan Facility from $15.0 million to $65.0 million. As of September 30, 2021 and December 31, 2020 there were no amounts outstanding under the Revolving Loan Facility.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relating to the Credit Facilities was approximately $0.3 million and $0.5 million for the three months ended September 30, 2021 and 2020, respectively, and $0.9 million and $1.5 million for the nine months ended September 30, 2021, and 2020, respectively.</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Debt issuance costs relating to the Credit Facilities of approximately $0.9 million have been capitalized and are being amortized over the life of the Credit Facilities using the effective interest method. Amortization expense of approximately $0.1 million was recorded for both the nine months ended September 30, 2021 and 2020, respectively, and a de minimis amount for both the three months ended September 30, 2021 and 2020, respectively.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Substantially all of the Company’s real and personal property serve as collateral under the above debt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aggregate principal payments applicable to the note payable for years subsequent to September 30, 2021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recorded an income tax benefit of $2.2 million and $8.6 million for the three months ended September 30, 2021 and 2020, respectively, and a income tax benefit of $20.2 million and $7.4 million for the nine months ended September 30, 2021 and 2020, respectively. This represents an estimated annual effective tax rate of 9.7% and 1.0% as of September 30, 2021 and 2020, respectively. The effective tax rate for the three and nine month periods ended September 30, 2021 was lower than the statutory rate due to the effect on the pre-tax loss of the non-deductible stock-based compensation expense related to the Company’s IPO. The effective tax rate for the three and nine month periods ended September 30, 2020 was lower than the statutory rate due primarily to the reversal of the allowance on the deferred tax asset. Additionally, the benefit for the 3 months ended September 30, 2020 is higher than the nine months ended September 30, 2020 due to the release of the valuation allowance in the third quarter of 2020 as that is the period that the weight of all available evidence outweighed the weight of the negative evidence when evaluating the ability for the deferred tax asset to be realized in the future. Prior to the third quarter in 2020, tax expense was realized as a result of the increase in the deferred tax liability with all other deferred tax balances offset by the full valuation allowance recorded.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consider both positive and negative evidence when evaluating the recoverability of our DTAs. The assessment is required to determine whether, based on all available evidence, it is more likely than not (i.e., greater than a 50% probability) that all or some portion of the DTAs will be realized in the future. As of September 30, 2021 and 2020, the weight of all available positive evidence was greater than the weight of all negative evidence, so a valuation allowance against the deferred tax asset was not recorded.</w:t>
      </w:r>
    </w:p>
    <w:p>
      <w:pPr>
        <w:spacing w:after="0" w:line="129"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Anthem Private Placement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May 3, 2021, concurrent with the closing of its IPO, the Company issued and sold, 4,000,000 shares of common stock, par value $0.01 per share, of the Company for an aggregate purchase price of $92 million (the “Private Placement”), or $23.00 per share, in a private placement to an affiliate of Anthem. As of May 3, 2021, Anthem holds approximately 3.9% of the issued and outstanding common stock of the Company. The securities issued to the Investor in the Private Placement were issued pursuant to the exemption from registration provided by Section 4(a)(2) of the Securities Act of 1933.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PH Group Holdings Corp. Stock Option Plan (the PH Group Option Plan) was created on January 17, 2014. The employees of the Company and its subsidiaries, consultants of the Company and the employees of Brighton Health Plan Services Holdings Corp. (BHPS) (a wholly-owned subsidiary of BHG Holdings) and its subsidiaries who have performed services for the Company were the participants of the PH Group Option Plan. The aggregate number of shares of common stock for which options may be granted under the PH Group Option Plan shall not exceed 4,229,850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August 11, 2016, the PH Group Option Plan was transferred to its parent and became the PH Group Parent Corp. Stock Option Plan (the “PH Parent Option Plan” or “Prior Plan”). All other terms in the PH Group Option Plan remained unchanged in the PH Parent Option Plan at the effective date of the transfer.</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August 28, 2018, the PH Parent Option Plan was amended and restated to increase the aggregate number of shares of common stock for which options may be granted from 4,229,850 shares to 18,985,846 shares.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 2021, contingent on the consummation of the IPO, the Board of Directors approved a modification to the PH Group Parent Corp. Stock Option Plan of the vesting conditions of certain outstanding stock option grants to certain employees and consultants. The modification accelerated by one year any time vested options that were not previously 100% vested and modified the vesting condition of the performance based options to vest 60% at IPO, 20% 12 months after IPO and 20% 18 months after the IPO. The modification also accelerated the CEO’s time based options by an additional four months such that 100% of his time based options are vested. We recognized stock-based compensation of $195.1 million in the second quarter of 2021 related to these modifications and we expect to recognize an additional $89.9 million of additional stock compensation expense over the eighteen months following the completion of the IPO.</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Omnibus Incentive Plan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6, 2021, the Company approved the Privia Health Group, Inc. 2021 Omnibus Incentive Plan (the “Plan”) which permits awards up to 10,278,581 shares of the Company’s common stock. The Plan also allows for an automatic increase on the first day of each fiscal year following the effective date of the Plan by an amount equal to the lesser of (i) 5% of outstanding shares on December 31 of the immediately preceding fiscal year or (ii) such number of shares as determined by the Company’s Compensation Committee in its discretion. The Plan provides for the granting of stock options at a price equal to at least 100% of the fair market value of the Company’s common stock as of the date of grant. The Plan also provides for the granting of Stock Appreciation Rights, Restricted Stock, Restricted Stock Units (“RSUs”), Performance Awards and other cash-based or other stock-based awards, all which must be granted at not less than the fair market value of the Company’s common stock as of the date of grant. Participants in the Plan may include employees, consultants, other service providers and non-employee directors. On the effective date of the IPO, the Company issued 1,183,871 restricted stock units at the offering price and 3,683,217 options, with an exercise price equal to the offering price. These issuances are expected to generate stock-based compensation expense of $62.3 million to be recognized over the next four years starting on the effective date of the IPO as both the restricted stock units and stock options vest. The 2021 Plan is intended as the successor to and continuation of the PH Parent Option Plan. No additional stock awards will be granted under the Prior Plan.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Employee Stock Purchase Plan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April 2021, the Company’s Board of Directors approved the Company’s 2021 Employee Stock Purchase Plan (“2021 ESPP”). The 2021 ESPP became effective upon the execution of the underwriting agreement for the Company’s IPO in April 2021. Per the Plan, shares may be newly issued shares, treasury shares or shares acquired on the open market. The Compensation Committee may elect to increase the total number of Shares available for purchase under the Plan as of the first day of each Company fiscal year following the Effective Date in an amount equal to up to one percent (1%) of the shares issued and outstanding on the immediately preceding December 31; provided that the maximum number of shares that may be issued under the Plan in any event shall be 10,278,581 shares. As of the IPO, the Company has reserved 1,027,858 shares of common stock for issuance under the 2021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activity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Prior Plan and Plan: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2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30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1"/>
                <w:szCs w:val="11"/>
                <w:color w:val="auto"/>
              </w:rPr>
            </w:pPr>
          </w:p>
        </w:tc>
        <w:tc>
          <w:tcPr>
            <w:tcW w:w="14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Grant-Date</w:t>
            </w:r>
          </w:p>
        </w:tc>
        <w:tc>
          <w:tcPr>
            <w:tcW w:w="26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6"/>
                <w:szCs w:val="16"/>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18,300,959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3,730,717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21,530,806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Exercisable at September 30,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12,272,394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466"/>
        </w:trPr>
        <w:tc>
          <w:tcPr>
            <w:tcW w:w="4700" w:type="dxa"/>
            <w:vAlign w:val="bottom"/>
          </w:tcPr>
          <w:p>
            <w:pPr>
              <w:ind w:left="340"/>
              <w:spacing w:after="0"/>
              <w:rPr>
                <w:sz w:val="20"/>
                <w:szCs w:val="20"/>
                <w:color w:val="auto"/>
              </w:rPr>
            </w:pPr>
            <w:r>
              <w:rPr>
                <w:rFonts w:ascii="Arial" w:cs="Arial" w:eastAsia="Arial" w:hAnsi="Arial"/>
                <w:sz w:val="18"/>
                <w:szCs w:val="18"/>
                <w:i w:val="1"/>
                <w:iCs w:val="1"/>
                <w:color w:val="auto"/>
              </w:rPr>
              <w:t>RSU Activity</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3"/>
          </w:tcPr>
          <w:p>
            <w:pPr>
              <w:ind w:left="340"/>
              <w:spacing w:after="0"/>
              <w:rPr>
                <w:sz w:val="20"/>
                <w:szCs w:val="20"/>
                <w:color w:val="auto"/>
              </w:rPr>
            </w:pPr>
            <w:r>
              <w:rPr>
                <w:rFonts w:ascii="Arial" w:cs="Arial" w:eastAsia="Arial" w:hAnsi="Arial"/>
                <w:sz w:val="18"/>
                <w:szCs w:val="18"/>
                <w:i w:val="1"/>
                <w:iCs w:val="1"/>
                <w:color w:val="auto"/>
              </w:rPr>
              <w:t>The following table summarizes the RSU activity under the 2021 Plan:</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2020</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1,199,315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at September 30, 2021</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stock-based compensation expense for the three months ended September 30, 2021 and 2020, was approximately $25.8 million and $0.1 million, respectively, and $228.5 million and $0.4 million for the nine months ended September 30, 2021 and 2020, respectively. At September 30, 2021, there was approximately $119.1 million of unrecognized stock-based compensation expense related to unvested options and RSUs, net of forfeitures, that is expected to be recognized over a weighted-average period of 1.0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2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31, 2020, $4.0 million of related party receivables was used to repay $4.0 million of the Notes payable to related parties, leaving $4.7 million of Notes payable to related parties. The Company paid interest of $0.2 million through October 31, 2020. In addition, on December 22, 2020, the remaining $4.7 million of Notes payable to related parties were converted to a capital contribution, leaving no remaining Notes payable to related parties outstanding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0" w:lineRule="exact"/>
        <w:rPr>
          <w:sz w:val="20"/>
          <w:szCs w:val="20"/>
          <w:color w:val="auto"/>
        </w:rPr>
      </w:pPr>
    </w:p>
    <w:p>
      <w:pPr>
        <w:ind w:left="640" w:hanging="632"/>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material commitments and contingencies as of September 30, 2021.</w:t>
      </w:r>
    </w:p>
    <w:p>
      <w:pPr>
        <w:spacing w:after="0" w:line="167"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financial instruments that are potentially subject to concentrations of credit risk consist primarily of cash, cash equivalents, and accounts receivable. While our cash and cash equivalents are managed by reputable financial institutions, the Company’s cash balances with the individual institutions may at times exceed the federally insured limits. At September 30, 2021, substantially all of the Company’s cash and cash equivalents were held at two financial institutions. The Company believes these financial institutions are financially sound and that minimal credit risk exists.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receives payment for medical services provided to patients by its physicians through contracts with payers. Six payers within the network accounted for approximately 84% and 85% of such payments for the three month periods ended September 30, 2021 and 2020, respectively, and 82% for both the nine month periods ended September 30, 2021 and 2020, respectively. The Company evaluates accounts receivable to determine if they will ultimately be collected. In performing this evaluation, significant judgments and estimates are involved, such as past experience, credit quality, age of the receivable balance and current economic conditions that may affect ability to pay. As of September 30, 2021 and December 31, 2020, the Company had six payers within the network that made up approximately 71% and 70% of accounts receivable, respectively.</w:t>
      </w:r>
    </w:p>
    <w:p>
      <w:pPr>
        <w:spacing w:after="0" w:line="106"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net (loss) income available to common shareholders and the number of shares in the calculation of basic and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per share was calculated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8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share and per share amounts)</w:t>
            </w: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52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Net (loss) income attributable to Privia Health Group, Inc.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(176,251)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27,380</w:t>
            </w: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Weighted average common shares outstanding - basic and diluted</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105,896,622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95,950,929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101,576,775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95,945,804</w:t>
            </w:r>
          </w:p>
        </w:tc>
        <w:tc>
          <w:tcPr>
            <w:tcW w:w="0" w:type="dxa"/>
            <w:vAlign w:val="bottom"/>
          </w:tcPr>
          <w:p>
            <w:pPr>
              <w:spacing w:after="0"/>
              <w:rPr>
                <w:sz w:val="1"/>
                <w:szCs w:val="1"/>
                <w:color w:val="auto"/>
              </w:rPr>
            </w:pPr>
          </w:p>
        </w:tc>
      </w:tr>
      <w:tr>
        <w:trPr>
          <w:trHeight w:val="155"/>
        </w:trPr>
        <w:tc>
          <w:tcPr>
            <w:tcW w:w="5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Earnings per share attributable to Privia Health Group, Inc.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 basic and diluted</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treasury stock method is used to consider the effect of the potentially dilutive stock options. The following weighted-average outstanding shares of potentially dilutive securities were excluded from computation of diluted loss per share attributable to common shareholders for the period presented because including them would have been antidilutive: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80" w:hanging="161"/>
        <w:spacing w:after="0" w:line="235" w:lineRule="auto"/>
        <w:rPr>
          <w:sz w:val="20"/>
          <w:szCs w:val="20"/>
          <w:color w:val="auto"/>
        </w:rPr>
      </w:pPr>
      <w:r>
        <w:rPr>
          <w:rFonts w:ascii="Arial" w:cs="Arial" w:eastAsia="Arial" w:hAnsi="Arial"/>
          <w:sz w:val="18"/>
          <w:szCs w:val="18"/>
          <w:color w:val="auto"/>
        </w:rPr>
        <w:t>Potentially dilutive stock options and RSUs to purchase common shares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potentially dilutive shares</w:t>
      </w:r>
    </w:p>
    <w:p>
      <w:pPr>
        <w:spacing w:after="0" w:line="289"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Financial Information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10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 Ended September 30,</w:t>
            </w:r>
          </w:p>
        </w:tc>
        <w:tc>
          <w:tcPr>
            <w:tcW w:w="302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187"/>
        </w:trPr>
        <w:tc>
          <w:tcPr>
            <w:tcW w:w="14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r>
      <w:tr>
        <w:trPr>
          <w:trHeight w:val="386"/>
        </w:trPr>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20,352,659</w:t>
            </w:r>
          </w:p>
        </w:tc>
        <w:tc>
          <w:tcPr>
            <w:tcW w:w="1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17,952,492</w:t>
            </w:r>
          </w:p>
        </w:tc>
        <w:tc>
          <w:tcPr>
            <w:tcW w:w="8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20,410,709</w:t>
            </w:r>
          </w:p>
        </w:tc>
        <w:tc>
          <w:tcPr>
            <w:tcW w:w="1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17,977,529</w:t>
            </w:r>
          </w:p>
        </w:tc>
      </w:tr>
      <w:tr>
        <w:trPr>
          <w:trHeight w:val="223"/>
        </w:trPr>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20,352,659</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17,952,492</w:t>
            </w:r>
          </w:p>
        </w:tc>
        <w:tc>
          <w:tcPr>
            <w:tcW w:w="80" w:type="dxa"/>
            <w:vAlign w:val="bottom"/>
          </w:tcPr>
          <w:p>
            <w:pPr>
              <w:spacing w:after="0"/>
              <w:rPr>
                <w:sz w:val="19"/>
                <w:szCs w:val="19"/>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20,410,709</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17,977,529</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-445135</wp:posOffset>
            </wp:positionV>
            <wp:extent cx="7132320" cy="2571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4720" w:space="400"/>
            <w:col w:w="6120"/>
          </w:cols>
          <w:pgMar w:left="320" w:top="1440"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The Company determined in accordance with ASC Topic 280, Segment Reporting (“ASC 280”), that the Company operates in and reports as a single operating segment, which is to care for its patients’ needs. Operating segments are identified as components of an enterprise where separate discrete financial information is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9" w:name="page240"/>
    <w:bookmarkEnd w:id="23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evaluation by the chief operating decision maker (“CODM”), or decision-making group, who reviews financial operating results on a regular basis for the purpose of allocating resources and evaluating financial performance.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 about overall corporate resource allocation and to assess overall corporate profitability. As of September 30, 2021 and December 31, 2020, all of the Company’s long-lived assets were located in the United States and for the three and nine months ended September 30, 2021 and 2020 all revenue was earned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6,000,000 Shares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Privia Health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140335</wp:posOffset>
            </wp:positionV>
            <wp:extent cx="2400300" cy="5657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00300" cy="56578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1383665</wp:posOffset>
            </wp:positionV>
            <wp:extent cx="15170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165100</wp:posOffset>
            </wp:positionV>
            <wp:extent cx="15170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6"/>
          <w:szCs w:val="26"/>
          <w:color w:val="auto"/>
        </w:rPr>
        <w:t>Goldman Sachs &amp; Co. LLC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J.P. Morgan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25"/>
          <w:szCs w:val="25"/>
          <w:color w:val="auto"/>
        </w:rPr>
        <w:t>Credit Suisse</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5"/>
          <w:szCs w:val="25"/>
          <w:color w:val="auto"/>
        </w:rPr>
        <w:t>William Blair</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5"/>
          <w:szCs w:val="25"/>
          <w:color w:val="auto"/>
        </w:rPr>
        <w:t>Piper Sandler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Canaccord Genuity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SVB Leerink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Truist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0"/>
        <w:spacing w:after="0"/>
        <w:tabs>
          <w:tab w:leader="none" w:pos="300" w:val="left"/>
        </w:tabs>
        <w:rPr>
          <w:sz w:val="20"/>
          <w:szCs w:val="20"/>
          <w:color w:val="auto"/>
        </w:rPr>
      </w:pPr>
      <w:r>
        <w:rPr>
          <w:rFonts w:ascii="Arial" w:cs="Arial" w:eastAsia="Arial" w:hAnsi="Arial"/>
          <w:sz w:val="18"/>
          <w:szCs w:val="18"/>
          <w:b w:val="1"/>
          <w:bCs w:val="1"/>
          <w:color w:val="auto"/>
        </w:rPr>
        <w:t>November</w:t>
      </w:r>
      <w:r>
        <w:rPr>
          <w:sz w:val="20"/>
          <w:szCs w:val="20"/>
          <w:color w:val="auto"/>
        </w:rPr>
        <w:tab/>
      </w: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1667510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1" w:name="page242"/>
    <w:bookmarkEnd w:id="24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ind w:left="5300"/>
              <w:spacing w:after="0"/>
              <w:rPr>
                <w:sz w:val="20"/>
                <w:szCs w:val="20"/>
                <w:color w:val="auto"/>
              </w:rPr>
            </w:pPr>
            <w:r>
              <w:rPr>
                <w:rFonts w:ascii="Arial" w:cs="Arial" w:eastAsia="Arial" w:hAnsi="Arial"/>
                <w:sz w:val="18"/>
                <w:szCs w:val="18"/>
                <w:b w:val="1"/>
                <w:bCs w:val="1"/>
                <w:color w:val="auto"/>
              </w:rPr>
              <w:t>PART II</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9680" w:type="dxa"/>
            <w:vAlign w:val="bottom"/>
          </w:tcPr>
          <w:p>
            <w:pPr>
              <w:ind w:left="3500"/>
              <w:spacing w:after="0"/>
              <w:rPr>
                <w:sz w:val="20"/>
                <w:szCs w:val="20"/>
                <w:color w:val="auto"/>
              </w:rPr>
            </w:pPr>
            <w:r>
              <w:rPr>
                <w:rFonts w:ascii="Arial" w:cs="Arial" w:eastAsia="Arial" w:hAnsi="Arial"/>
                <w:sz w:val="18"/>
                <w:szCs w:val="18"/>
                <w:b w:val="1"/>
                <w:bCs w:val="1"/>
                <w:color w:val="auto"/>
              </w:rPr>
              <w:t>INFORMATION NOT REQUIRED IN PROSPECTUS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8"/>
        </w:trPr>
        <w:tc>
          <w:tcPr>
            <w:tcW w:w="96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w w:val="92"/>
              </w:rPr>
              <w:t>Amount to Be Paid</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r>
      <w:tr>
        <w:trPr>
          <w:trHeight w:val="27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FINRA filing fee</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77"/>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Listing fee</w:t>
            </w:r>
          </w:p>
        </w:tc>
        <w:tc>
          <w:tcPr>
            <w:tcW w:w="1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 agent’s fees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Legal fees and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7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Blue Sky fees and expenses</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35,415</w:t>
            </w:r>
          </w:p>
        </w:tc>
      </w:tr>
      <w:tr>
        <w:trPr>
          <w:trHeight w:val="224"/>
        </w:trPr>
        <w:tc>
          <w:tcPr>
            <w:tcW w:w="968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1,400,000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3" w:lineRule="exact"/>
        <w:rPr>
          <w:sz w:val="20"/>
          <w:szCs w:val="20"/>
          <w:color w:val="auto"/>
        </w:rPr>
      </w:pPr>
    </w:p>
    <w:p>
      <w:pPr>
        <w:ind w:left="320" w:hanging="312"/>
        <w:spacing w:after="0"/>
        <w:tabs>
          <w:tab w:leader="none" w:pos="3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 amounts set forth above, other than the registration fee and the FINRA filing fee, is an estimate.</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bylaws provide for indemnification by the registrant of its directors, officers and employees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proposed form of underwriting agreement filed as Exhibit 1 to this registration statement provides for indemnification of directors and officers of the registrant by the underwriters against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Since October 15, 2018, we granted to our directors, officers, employees, consultants, and other service providers 3,997,130 options to purchase shares of our common stock pursuant to our Second Amended and Restated Stock Option Plan.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is information regarding securities sold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offers and sales of the above securities were deemed to be exempt from registration under the Securities Act of 1933 in reliance upon Section 4(a)</w:t>
      </w:r>
    </w:p>
    <w:p>
      <w:pPr>
        <w:spacing w:after="0" w:line="46" w:lineRule="exact"/>
        <w:rPr>
          <w:sz w:val="20"/>
          <w:szCs w:val="20"/>
          <w:color w:val="auto"/>
        </w:rPr>
      </w:pPr>
    </w:p>
    <w:p>
      <w:pPr>
        <w:jc w:val="both"/>
        <w:ind w:firstLine="8"/>
        <w:spacing w:after="0" w:line="292" w:lineRule="auto"/>
        <w:tabs>
          <w:tab w:leader="none" w:pos="26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above securities represented their intentions to acquire the securities for investment only and not with a view to or for sale in connection with any distribution thereof. Appropriate legends were placed upon any stock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20" w:type="dxa"/>
            <w:vAlign w:val="bottom"/>
            <w:gridSpan w:val="23"/>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4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940" w:type="dxa"/>
            <w:vAlign w:val="bottom"/>
            <w:tcBorders>
              <w:top w:val="single" w:sz="8" w:color="auto"/>
            </w:tcBorders>
            <w:gridSpan w:val="33"/>
          </w:tcPr>
          <w:p>
            <w:pPr>
              <w:spacing w:after="0" w:line="189" w:lineRule="exact"/>
              <w:rPr>
                <w:rFonts w:ascii="Arial" w:cs="Arial" w:eastAsia="Arial" w:hAnsi="Arial"/>
                <w:sz w:val="18"/>
                <w:szCs w:val="18"/>
                <w:color w:val="0000FF"/>
              </w:rPr>
            </w:pPr>
            <w:hyperlink w:anchor="page248">
              <w:r>
                <w:rPr>
                  <w:rFonts w:ascii="Arial" w:cs="Arial" w:eastAsia="Arial" w:hAnsi="Arial"/>
                  <w:sz w:val="18"/>
                  <w:szCs w:val="18"/>
                  <w:color w:val="0000FF"/>
                </w:rPr>
                <w:t>Form of Underwriting Agreement</w:t>
              </w:r>
            </w:hyperlink>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6"/>
              </w:rPr>
            </w:pPr>
            <w:hyperlink r:id="rId323">
              <w:r>
                <w:rPr>
                  <w:rFonts w:ascii="Arial" w:cs="Arial" w:eastAsia="Arial" w:hAnsi="Arial"/>
                  <w:sz w:val="18"/>
                  <w:szCs w:val="18"/>
                  <w:color w:val="0000FF"/>
                  <w:w w:val="96"/>
                </w:rPr>
                <w:t>Amended and Restated Certificate of Incorporation (incorporated herein by reference to Exhibit 3.1 to the registrant’s Registration</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23">
              <w:r>
                <w:rPr>
                  <w:rFonts w:ascii="Arial" w:cs="Arial" w:eastAsia="Arial" w:hAnsi="Arial"/>
                  <w:sz w:val="18"/>
                  <w:szCs w:val="18"/>
                  <w:color w:val="0000FF"/>
                </w:rPr>
                <w:t>Statement on Form S-1 (File No. 333-255086), filed with the SEC on April 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4"/>
              </w:rPr>
            </w:pPr>
            <w:hyperlink r:id="rId324">
              <w:r>
                <w:rPr>
                  <w:rFonts w:ascii="Arial" w:cs="Arial" w:eastAsia="Arial" w:hAnsi="Arial"/>
                  <w:sz w:val="18"/>
                  <w:szCs w:val="18"/>
                  <w:color w:val="0000FF"/>
                  <w:w w:val="94"/>
                </w:rPr>
                <w:t>Amended and Restated By-Laws (incorporated herein by reference to Exhibit 3.2 to the registrant’s Registration Statement on Form</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S-1 (File No. 333-255086), filed with the SEC on April 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7"/>
              </w:rPr>
            </w:pPr>
            <w:hyperlink r:id="rId325">
              <w:r>
                <w:rPr>
                  <w:rFonts w:ascii="Arial" w:cs="Arial" w:eastAsia="Arial" w:hAnsi="Arial"/>
                  <w:sz w:val="18"/>
                  <w:szCs w:val="18"/>
                  <w:color w:val="0000FF"/>
                  <w:w w:val="97"/>
                </w:rPr>
                <w:t>Form of Common Stock Certificate (incorporated herein by reference to Exhibit 4.1 to the registrant’s Registration Statement on</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325">
              <w:r>
                <w:rPr>
                  <w:rFonts w:ascii="Arial" w:cs="Arial" w:eastAsia="Arial" w:hAnsi="Arial"/>
                  <w:sz w:val="18"/>
                  <w:szCs w:val="18"/>
                  <w:color w:val="0000FF"/>
                  <w:w w:val="92"/>
                </w:rPr>
                <w:t>Form S-1 (File No. 333-255086), filed with the SEC on April 7, 2021)</w:t>
              </w:r>
            </w:hyperlink>
          </w:p>
        </w:tc>
        <w:tc>
          <w:tcPr>
            <w:tcW w:w="47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291">
              <w:r>
                <w:rPr>
                  <w:rFonts w:ascii="Arial" w:cs="Arial" w:eastAsia="Arial" w:hAnsi="Arial"/>
                  <w:sz w:val="18"/>
                  <w:szCs w:val="18"/>
                  <w:color w:val="0000FF"/>
                  <w:w w:val="95"/>
                </w:rPr>
                <w:t>Opinion of Davis Polk &amp; Wardwell LLP</w:t>
              </w:r>
            </w:hyperlink>
          </w:p>
        </w:tc>
        <w:tc>
          <w:tcPr>
            <w:tcW w:w="7020" w:type="dxa"/>
            <w:vAlign w:val="bottom"/>
            <w:gridSpan w:val="25"/>
          </w:tcPr>
          <w:p>
            <w:pPr>
              <w:spacing w:after="0"/>
              <w:rPr>
                <w:sz w:val="18"/>
                <w:szCs w:val="18"/>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3"/>
              </w:rPr>
            </w:pPr>
            <w:hyperlink r:id="rId326">
              <w:r>
                <w:rPr>
                  <w:rFonts w:ascii="Arial" w:cs="Arial" w:eastAsia="Arial" w:hAnsi="Arial"/>
                  <w:sz w:val="18"/>
                  <w:szCs w:val="18"/>
                  <w:color w:val="0000FF"/>
                  <w:w w:val="93"/>
                </w:rPr>
                <w:t>2021 Omnibus Incentive Plan (incorporated herein by reference to Exhibit 10.1 to the registrant’s Registration Statement on Form S-1</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26">
              <w:r>
                <w:rPr>
                  <w:rFonts w:ascii="Arial" w:cs="Arial" w:eastAsia="Arial" w:hAnsi="Arial"/>
                  <w:sz w:val="18"/>
                  <w:szCs w:val="18"/>
                  <w:color w:val="0000FF"/>
                </w:rPr>
                <w:t>(File No. 333-255086), filed with the SEC on April 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rPr>
            </w:pPr>
            <w:hyperlink r:id="rId327">
              <w:r>
                <w:rPr>
                  <w:rFonts w:ascii="Arial" w:cs="Arial" w:eastAsia="Arial" w:hAnsi="Arial"/>
                  <w:sz w:val="18"/>
                  <w:szCs w:val="18"/>
                  <w:color w:val="0000FF"/>
                </w:rPr>
                <w:t>Employment Agreement between Privia Health Group, Inc. and Shawn Morris, dated April 13, 2018 (incorporated herein by</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3"/>
              </w:rPr>
            </w:pPr>
            <w:hyperlink r:id="rId327">
              <w:r>
                <w:rPr>
                  <w:rFonts w:ascii="Arial" w:cs="Arial" w:eastAsia="Arial" w:hAnsi="Arial"/>
                  <w:sz w:val="18"/>
                  <w:szCs w:val="18"/>
                  <w:color w:val="0000FF"/>
                  <w:w w:val="93"/>
                </w:rPr>
                <w:t>reference to Exhibit 10.2 to the registrant’s Registration Statement on Form S-1 (File No. 333-255086), filed with the SEC on April 7,</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327">
              <w:r>
                <w:rPr>
                  <w:rFonts w:ascii="Arial" w:cs="Arial" w:eastAsia="Arial" w:hAnsi="Arial"/>
                  <w:sz w:val="18"/>
                  <w:szCs w:val="18"/>
                  <w:color w:val="0000FF"/>
                  <w:w w:val="91"/>
                </w:rPr>
                <w:t>2021)</w:t>
              </w:r>
            </w:hyperlink>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8"/>
              </w:rPr>
            </w:pPr>
            <w:hyperlink r:id="rId328">
              <w:r>
                <w:rPr>
                  <w:rFonts w:ascii="Arial" w:cs="Arial" w:eastAsia="Arial" w:hAnsi="Arial"/>
                  <w:sz w:val="18"/>
                  <w:szCs w:val="18"/>
                  <w:color w:val="0000FF"/>
                  <w:w w:val="98"/>
                </w:rPr>
                <w:t>Employment Agreement between Privia Health Group, Inc. and Parth Mehrotra, dated January 1, 2018 (incorporated herein by</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328">
              <w:r>
                <w:rPr>
                  <w:rFonts w:ascii="Arial" w:cs="Arial" w:eastAsia="Arial" w:hAnsi="Arial"/>
                  <w:sz w:val="18"/>
                  <w:szCs w:val="18"/>
                  <w:color w:val="0000FF"/>
                  <w:w w:val="92"/>
                </w:rPr>
                <w:t>reference to Exhibit 10.3 to the registrant’s Registration Statement on Form S-1 (File No. 333-255086), filed with the SEC on April 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328">
              <w:r>
                <w:rPr>
                  <w:rFonts w:ascii="Arial" w:cs="Arial" w:eastAsia="Arial" w:hAnsi="Arial"/>
                  <w:sz w:val="18"/>
                  <w:szCs w:val="18"/>
                  <w:color w:val="0000FF"/>
                  <w:w w:val="91"/>
                </w:rPr>
                <w:t>2021)</w:t>
              </w:r>
            </w:hyperlink>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5"/>
              </w:rPr>
            </w:pPr>
            <w:hyperlink r:id="rId329">
              <w:r>
                <w:rPr>
                  <w:rFonts w:ascii="Arial" w:cs="Arial" w:eastAsia="Arial" w:hAnsi="Arial"/>
                  <w:sz w:val="18"/>
                  <w:szCs w:val="18"/>
                  <w:color w:val="0000FF"/>
                  <w:w w:val="95"/>
                </w:rPr>
                <w:t>Employment Agreement between Privia Health Group, Inc. and Thomas Bartrum, dated February 25, 2019 (incorporated herein by</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329">
              <w:r>
                <w:rPr>
                  <w:rFonts w:ascii="Arial" w:cs="Arial" w:eastAsia="Arial" w:hAnsi="Arial"/>
                  <w:sz w:val="18"/>
                  <w:szCs w:val="18"/>
                  <w:color w:val="0000FF"/>
                  <w:w w:val="92"/>
                </w:rPr>
                <w:t>reference to Exhibit 10.4 to the registrant’s Registration Statement on Form S-1 (File No. 333-255086), filed with the SEC on April 7,</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329">
              <w:r>
                <w:rPr>
                  <w:rFonts w:ascii="Arial" w:cs="Arial" w:eastAsia="Arial" w:hAnsi="Arial"/>
                  <w:sz w:val="18"/>
                  <w:szCs w:val="18"/>
                  <w:color w:val="0000FF"/>
                  <w:w w:val="86"/>
                </w:rPr>
                <w:t>2021)</w:t>
              </w:r>
            </w:hyperlink>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3"/>
              </w:rPr>
            </w:pPr>
            <w:hyperlink r:id="rId330">
              <w:r>
                <w:rPr>
                  <w:rFonts w:ascii="Arial" w:cs="Arial" w:eastAsia="Arial" w:hAnsi="Arial"/>
                  <w:sz w:val="18"/>
                  <w:szCs w:val="18"/>
                  <w:color w:val="0000FF"/>
                  <w:w w:val="93"/>
                </w:rPr>
                <w:t>Form of Shareholder Rights Agreement between Privia Health Group, Inc. and the other signatories party thereto (incorporated herein</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330">
              <w:r>
                <w:rPr>
                  <w:rFonts w:ascii="Arial" w:cs="Arial" w:eastAsia="Arial" w:hAnsi="Arial"/>
                  <w:sz w:val="18"/>
                  <w:szCs w:val="18"/>
                  <w:color w:val="0000FF"/>
                  <w:w w:val="96"/>
                </w:rPr>
                <w:t>by reference to Exhibit 10.5 to the registrant’s Registration Statement on Form S-1 (File No. 333-255086), filed with the SEC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330">
              <w:r>
                <w:rPr>
                  <w:rFonts w:ascii="Arial" w:cs="Arial" w:eastAsia="Arial" w:hAnsi="Arial"/>
                  <w:sz w:val="18"/>
                  <w:szCs w:val="18"/>
                  <w:color w:val="0000FF"/>
                  <w:w w:val="93"/>
                </w:rPr>
                <w:t>April 22, 2021)</w:t>
              </w:r>
            </w:hyperlink>
          </w:p>
        </w:tc>
        <w:tc>
          <w:tcPr>
            <w:tcW w:w="862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8"/>
              </w:rPr>
            </w:pPr>
            <w:hyperlink r:id="rId331">
              <w:r>
                <w:rPr>
                  <w:rFonts w:ascii="Arial" w:cs="Arial" w:eastAsia="Arial" w:hAnsi="Arial"/>
                  <w:sz w:val="18"/>
                  <w:szCs w:val="18"/>
                  <w:color w:val="0000FF"/>
                  <w:w w:val="98"/>
                </w:rPr>
                <w:t>Form of Registration Rights Agreement between Privia Health Group, Inc. and the other signatories party thereto (incorporated</w:t>
              </w:r>
            </w:hyperlink>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331">
              <w:r>
                <w:rPr>
                  <w:rFonts w:ascii="Arial" w:cs="Arial" w:eastAsia="Arial" w:hAnsi="Arial"/>
                  <w:sz w:val="18"/>
                  <w:szCs w:val="18"/>
                  <w:color w:val="0000FF"/>
                  <w:w w:val="94"/>
                </w:rPr>
                <w:t>herein by reference to Exhibit 10.6 to the registrant’s Registration Statement on Form S-1 (File No. 333-255086), filed with the SEC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31">
              <w:r>
                <w:rPr>
                  <w:rFonts w:ascii="Arial" w:cs="Arial" w:eastAsia="Arial" w:hAnsi="Arial"/>
                  <w:sz w:val="18"/>
                  <w:szCs w:val="18"/>
                  <w:color w:val="0000FF"/>
                </w:rPr>
                <w:t>on April 22, 2021)</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4"/>
              </w:rPr>
            </w:pPr>
            <w:hyperlink r:id="rId332">
              <w:r>
                <w:rPr>
                  <w:rFonts w:ascii="Arial" w:cs="Arial" w:eastAsia="Arial" w:hAnsi="Arial"/>
                  <w:sz w:val="18"/>
                  <w:szCs w:val="18"/>
                  <w:color w:val="0000FF"/>
                  <w:w w:val="94"/>
                </w:rPr>
                <w:t>Employee Stock Purchase Plan (incorporated herein by reference to Exhibit 10.7 to the registrant’s Registration Statement on Form</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332">
              <w:r>
                <w:rPr>
                  <w:rFonts w:ascii="Arial" w:cs="Arial" w:eastAsia="Arial" w:hAnsi="Arial"/>
                  <w:sz w:val="18"/>
                  <w:szCs w:val="18"/>
                  <w:color w:val="0000FF"/>
                  <w:w w:val="93"/>
                </w:rPr>
                <w:t>S-1 (File No. 333-255086), filed with the SEC on April 22, 2021)</w:t>
              </w:r>
            </w:hyperlink>
          </w:p>
        </w:tc>
        <w:tc>
          <w:tcPr>
            <w:tcW w:w="51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7"/>
              </w:rPr>
            </w:pPr>
            <w:hyperlink r:id="rId333">
              <w:r>
                <w:rPr>
                  <w:rFonts w:ascii="Arial" w:cs="Arial" w:eastAsia="Arial" w:hAnsi="Arial"/>
                  <w:sz w:val="18"/>
                  <w:szCs w:val="18"/>
                  <w:color w:val="0000FF"/>
                  <w:w w:val="97"/>
                </w:rPr>
                <w:t>Form of 2021 Omnibus Plan Restricted Stock Unit Award for Employees (incorporated herein by reference to Exhibit 10.8 to the</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registrant’s Registration Statement on Form S-1 (File No. 333-255086), filed with the SEC on April 22,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6"/>
              </w:rPr>
            </w:pPr>
            <w:hyperlink r:id="rId334">
              <w:r>
                <w:rPr>
                  <w:rFonts w:ascii="Arial" w:cs="Arial" w:eastAsia="Arial" w:hAnsi="Arial"/>
                  <w:sz w:val="18"/>
                  <w:szCs w:val="18"/>
                  <w:color w:val="0000FF"/>
                  <w:w w:val="96"/>
                </w:rPr>
                <w:t>Form of 2021 Omnibus Plan Restricted Stock Unit Award for Non-Employee Directors (incorporated herein by reference to Exhibit</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3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r>
                <w:rPr>
                  <w:rFonts w:ascii="Arial" w:cs="Arial" w:eastAsia="Arial" w:hAnsi="Arial"/>
                  <w:sz w:val="18"/>
                  <w:szCs w:val="18"/>
                  <w:color w:val="0000FF"/>
                  <w:w w:val="91"/>
                </w:rPr>
                <w:t xml:space="preserve"> to the registrant’s Registration Statement on Form S-1 (File No. 333-255086), filed with the SEC on April 22, 2021)</w:t>
              </w:r>
            </w:hyperlink>
          </w:p>
        </w:tc>
        <w:tc>
          <w:tcPr>
            <w:tcW w:w="11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5"/>
              </w:rPr>
            </w:pPr>
            <w:hyperlink r:id="rId335">
              <w:r>
                <w:rPr>
                  <w:rFonts w:ascii="Arial" w:cs="Arial" w:eastAsia="Arial" w:hAnsi="Arial"/>
                  <w:sz w:val="18"/>
                  <w:szCs w:val="18"/>
                  <w:color w:val="0000FF"/>
                  <w:w w:val="95"/>
                </w:rPr>
                <w:t>Form of 2021 Omnibus Plan Stock Option Award (incorporated herein by reference to Exhibit 10.10 to the registrant’s Registration</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335">
              <w:r>
                <w:rPr>
                  <w:rFonts w:ascii="Arial" w:cs="Arial" w:eastAsia="Arial" w:hAnsi="Arial"/>
                  <w:sz w:val="18"/>
                  <w:szCs w:val="18"/>
                  <w:color w:val="0000FF"/>
                  <w:w w:val="92"/>
                </w:rPr>
                <w:t>Statement on Form S-1 (File No. 333-255086), filed with the SEC on April 22, 2021)</w:t>
              </w:r>
            </w:hyperlink>
          </w:p>
        </w:tc>
        <w:tc>
          <w:tcPr>
            <w:tcW w:w="372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w w:val="96"/>
              </w:rPr>
            </w:pPr>
            <w:hyperlink w:anchor="page292">
              <w:r>
                <w:rPr>
                  <w:rFonts w:ascii="Arial" w:cs="Arial" w:eastAsia="Arial" w:hAnsi="Arial"/>
                  <w:sz w:val="18"/>
                  <w:szCs w:val="18"/>
                  <w:color w:val="0000FF"/>
                  <w:w w:val="96"/>
                </w:rPr>
                <w:t>Amendment No. 1 to the Registration Rights Agreement between Privia Health Group, Inc. and the other signatories party thereto</w:t>
              </w:r>
            </w:hyperlink>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w:anchor="page292">
              <w:r>
                <w:rPr>
                  <w:rFonts w:ascii="Arial" w:cs="Arial" w:eastAsia="Arial" w:hAnsi="Arial"/>
                  <w:sz w:val="18"/>
                  <w:szCs w:val="18"/>
                  <w:color w:val="0000FF"/>
                  <w:w w:val="88"/>
                </w:rPr>
                <w:t>dated October 29, 2021</w:t>
              </w:r>
            </w:hyperlink>
          </w:p>
        </w:tc>
        <w:tc>
          <w:tcPr>
            <w:tcW w:w="7960" w:type="dxa"/>
            <w:vAlign w:val="bottom"/>
            <w:tcBorders>
              <w:top w:val="single" w:sz="8" w:color="0000FF"/>
            </w:tcBorders>
            <w:gridSpan w:val="14"/>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rPr>
            </w:pPr>
            <w:hyperlink r:id="rId336">
              <w:r>
                <w:rPr>
                  <w:rFonts w:ascii="Arial" w:cs="Arial" w:eastAsia="Arial" w:hAnsi="Arial"/>
                  <w:sz w:val="18"/>
                  <w:szCs w:val="18"/>
                  <w:color w:val="0000FF"/>
                </w:rPr>
                <w:t>Subsidiaries of the registrant</w:t>
              </w:r>
            </w:hyperlink>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0" w:type="dxa"/>
            <w:vAlign w:val="bottom"/>
            <w:gridSpan w:val="21"/>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rPr>
            </w:pPr>
            <w:hyperlink w:anchor="page306">
              <w:r>
                <w:rPr>
                  <w:rFonts w:ascii="Arial" w:cs="Arial" w:eastAsia="Arial" w:hAnsi="Arial"/>
                  <w:sz w:val="18"/>
                  <w:szCs w:val="18"/>
                  <w:color w:val="0000FF"/>
                </w:rPr>
                <w:t>Consent of Independent Registered Public Accounting Firm</w:t>
              </w:r>
            </w:hyperlink>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9"/>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0" w:type="dxa"/>
            <w:vAlign w:val="bottom"/>
            <w:gridSpan w:val="21"/>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291">
              <w:r>
                <w:rPr>
                  <w:rFonts w:ascii="Arial" w:cs="Arial" w:eastAsia="Arial" w:hAnsi="Arial"/>
                  <w:sz w:val="18"/>
                  <w:szCs w:val="18"/>
                  <w:color w:val="0000FF"/>
                  <w:w w:val="93"/>
                </w:rPr>
                <w:t>Consent of Davis Polk &amp; Wardwell LLP (included in Exhibit 5.1)</w:t>
              </w:r>
            </w:hyperlink>
          </w:p>
        </w:tc>
        <w:tc>
          <w:tcPr>
            <w:tcW w:w="5200" w:type="dxa"/>
            <w:vAlign w:val="bottom"/>
            <w:gridSpan w:val="21"/>
          </w:tcPr>
          <w:p>
            <w:pPr>
              <w:spacing w:after="0"/>
              <w:rPr>
                <w:sz w:val="18"/>
                <w:szCs w:val="18"/>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3"/>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Power of Attorney (included on signature page)</w:t>
              </w:r>
            </w:hyperlink>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ind w:left="340" w:right="4280" w:hanging="8"/>
        <w:spacing w:after="0" w:line="435" w:lineRule="auto"/>
        <w:tabs>
          <w:tab w:leader="none" w:pos="6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following financial statement schedule is filed as part of this registration statement: None</w:t>
      </w:r>
    </w:p>
    <w:p>
      <w:pPr>
        <w:spacing w:after="0" w:line="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660" w:hanging="328"/>
        <w:spacing w:after="0" w:line="308" w:lineRule="auto"/>
        <w:tabs>
          <w:tab w:leader="none" w:pos="65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2" w:lineRule="exact"/>
        <w:rPr>
          <w:rFonts w:ascii="Arial" w:cs="Arial" w:eastAsia="Arial" w:hAnsi="Arial"/>
          <w:sz w:val="17"/>
          <w:szCs w:val="17"/>
          <w:color w:val="auto"/>
        </w:rPr>
      </w:pPr>
    </w:p>
    <w:p>
      <w:pPr>
        <w:jc w:val="both"/>
        <w:ind w:left="660" w:hanging="328"/>
        <w:spacing w:after="0" w:line="290" w:lineRule="auto"/>
        <w:tabs>
          <w:tab w:leader="none" w:pos="65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1" w:lineRule="exact"/>
        <w:rPr>
          <w:rFonts w:ascii="Arial" w:cs="Arial" w:eastAsia="Arial" w:hAnsi="Arial"/>
          <w:sz w:val="16"/>
          <w:szCs w:val="16"/>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jc w:val="both"/>
        <w:ind w:left="1300" w:hanging="320"/>
        <w:spacing w:after="0" w:line="259" w:lineRule="auto"/>
        <w:tabs>
          <w:tab w:leader="none" w:pos="129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2"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County of Arlington, Commonwealth of Virginia, on the sixteenth day of November, 2021.</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Privia Health Group, Inc.</w:t>
      </w:r>
    </w:p>
    <w:p>
      <w:pPr>
        <w:spacing w:after="0" w:line="29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2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Shawn Morris</w:t>
            </w:r>
          </w:p>
        </w:tc>
      </w:tr>
      <w:tr>
        <w:trPr>
          <w:trHeight w:val="222"/>
        </w:trPr>
        <w:tc>
          <w:tcPr>
            <w:tcW w:w="280" w:type="dxa"/>
            <w:vAlign w:val="bottom"/>
          </w:tcPr>
          <w:p>
            <w:pPr>
              <w:spacing w:after="0"/>
              <w:rPr>
                <w:sz w:val="19"/>
                <w:szCs w:val="19"/>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Name: Shawn Morris</w:t>
            </w:r>
          </w:p>
        </w:tc>
      </w:tr>
      <w:tr>
        <w:trPr>
          <w:trHeight w:val="230"/>
        </w:trPr>
        <w:tc>
          <w:tcPr>
            <w:tcW w:w="28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Title: Chief Executive Officer</w:t>
            </w: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Shawn Morris, Thomas Bartrum and Parth Mehrotra,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p>
      <w:pPr>
        <w:ind w:left="1260"/>
        <w:spacing w:after="0"/>
        <w:tabs>
          <w:tab w:leader="none" w:pos="5460" w:val="left"/>
          <w:tab w:leader="none" w:pos="9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7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716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Shawn Morris</w:t>
      </w:r>
    </w:p>
    <w:p>
      <w:pPr>
        <w:spacing w:after="0" w:line="15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716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Parth Mehrotra</w:t>
      </w:r>
    </w:p>
    <w:p>
      <w:pPr>
        <w:spacing w:after="0" w:line="15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9716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2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David Mountcastle</w:t>
      </w:r>
    </w:p>
    <w:p>
      <w:pPr>
        <w:spacing w:after="0" w:line="11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Jeff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716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Jeff Bernstein</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Jeff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716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Jeff Butler</w:t>
      </w:r>
    </w:p>
    <w:p>
      <w:pPr>
        <w:spacing w:after="0" w:line="9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 William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9716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6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William M. Sullivan</w:t>
      </w:r>
    </w:p>
    <w:p>
      <w:pPr>
        <w:spacing w:after="0" w:line="14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Will Sherrill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716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Will Sherrill</w:t>
      </w:r>
    </w:p>
    <w:p>
      <w:pPr>
        <w:spacing w:after="0" w:line="11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Patricia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716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Patricia Maryland</w:t>
      </w:r>
    </w:p>
    <w:p>
      <w:pPr>
        <w:spacing w:after="0" w:line="10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 Jaewon Ryu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716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Jaewon Ryu</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President and Chief Operating Officer</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(principal operating officer)</w:t>
      </w:r>
    </w:p>
    <w:p>
      <w:pPr>
        <w:spacing w:after="0" w:line="26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2021</w:t>
      </w:r>
    </w:p>
    <w:p>
      <w:pPr>
        <w:spacing w:after="0" w:line="384" w:lineRule="exact"/>
        <w:rPr>
          <w:sz w:val="20"/>
          <w:szCs w:val="20"/>
          <w:color w:val="auto"/>
        </w:rPr>
      </w:pPr>
    </w:p>
    <w:p>
      <w:pPr>
        <w:sectPr>
          <w:pgSz w:w="11900" w:h="16838" w:orient="portrait"/>
          <w:cols w:equalWidth="0" w:num="3">
            <w:col w:w="3360" w:space="720"/>
            <w:col w:w="4160" w:space="720"/>
            <w:col w:w="22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Privia Health Group,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Underwriting Agreement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2021</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rPr>
          <w:sz w:val="20"/>
          <w:szCs w:val="20"/>
          <w:color w:val="auto"/>
        </w:rPr>
      </w:pPr>
      <w:r>
        <w:rPr>
          <w:rFonts w:ascii="Arial" w:cs="Arial" w:eastAsia="Arial" w:hAnsi="Arial"/>
          <w:sz w:val="20"/>
          <w:szCs w:val="20"/>
          <w:color w:val="auto"/>
        </w:rPr>
        <w:t>J.P. Morgan Securities LLC,</w:t>
      </w:r>
    </w:p>
    <w:p>
      <w:pPr>
        <w:ind w:left="340" w:right="4940" w:hanging="161"/>
        <w:spacing w:after="0" w:line="246" w:lineRule="auto"/>
        <w:rPr>
          <w:sz w:val="20"/>
          <w:szCs w:val="20"/>
          <w:color w:val="auto"/>
        </w:rPr>
      </w:pPr>
      <w:r>
        <w:rPr>
          <w:rFonts w:ascii="Arial" w:cs="Arial" w:eastAsia="Arial" w:hAnsi="Arial"/>
          <w:sz w:val="20"/>
          <w:szCs w:val="20"/>
          <w:color w:val="auto"/>
        </w:rPr>
        <w:t>As representatives (the “Representatives”) of the several Underwriters named in Schedule I hereto</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c/o Goldman Sachs &amp; Co. LLC</w:t>
      </w:r>
    </w:p>
    <w:p>
      <w:pPr>
        <w:spacing w:after="0"/>
        <w:rPr>
          <w:sz w:val="20"/>
          <w:szCs w:val="20"/>
          <w:color w:val="auto"/>
        </w:rPr>
      </w:pPr>
      <w:r>
        <w:rPr>
          <w:rFonts w:ascii="Arial" w:cs="Arial" w:eastAsia="Arial" w:hAnsi="Arial"/>
          <w:sz w:val="20"/>
          <w:szCs w:val="20"/>
          <w:color w:val="auto"/>
        </w:rPr>
        <w:t>200 West Street,</w:t>
      </w:r>
    </w:p>
    <w:p>
      <w:pPr>
        <w:spacing w:after="0"/>
        <w:rPr>
          <w:sz w:val="20"/>
          <w:szCs w:val="20"/>
          <w:color w:val="auto"/>
        </w:rPr>
      </w:pPr>
      <w:r>
        <w:rPr>
          <w:rFonts w:ascii="Arial" w:cs="Arial" w:eastAsia="Arial" w:hAnsi="Arial"/>
          <w:sz w:val="20"/>
          <w:szCs w:val="20"/>
          <w:color w:val="auto"/>
        </w:rPr>
        <w:t>New York, New York 10282-2198</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c/o J.P. Morgan Securities LLC</w:t>
      </w:r>
    </w:p>
    <w:p>
      <w:pPr>
        <w:spacing w:after="0"/>
        <w:rPr>
          <w:sz w:val="20"/>
          <w:szCs w:val="20"/>
          <w:color w:val="auto"/>
        </w:rPr>
      </w:pPr>
      <w:r>
        <w:rPr>
          <w:rFonts w:ascii="Arial" w:cs="Arial" w:eastAsia="Arial" w:hAnsi="Arial"/>
          <w:sz w:val="20"/>
          <w:szCs w:val="20"/>
          <w:color w:val="auto"/>
        </w:rPr>
        <w:t>383 Madison Avenue,</w:t>
      </w:r>
    </w:p>
    <w:p>
      <w:pPr>
        <w:spacing w:after="0"/>
        <w:rPr>
          <w:sz w:val="20"/>
          <w:szCs w:val="20"/>
          <w:color w:val="auto"/>
        </w:rPr>
      </w:pPr>
      <w:r>
        <w:rPr>
          <w:rFonts w:ascii="Arial" w:cs="Arial" w:eastAsia="Arial" w:hAnsi="Arial"/>
          <w:sz w:val="20"/>
          <w:szCs w:val="20"/>
          <w:color w:val="auto"/>
        </w:rPr>
        <w:t>New York, New York 10179-0001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The stockholders of Privia Health Group, Inc., a Delaware corporation (the “Company”) named in Schedule II hereto (the "Selling Stockholders") propose, subject to the terms and conditions stated in this agreement (this “Agreement”), to sell to the Underwriters named in Schedule I hereto (the “Underwriters”), for whom you are acting as the Representatives, an aggregate of</w:t>
      </w:r>
    </w:p>
    <w:p>
      <w:pPr>
        <w:jc w:val="both"/>
        <w:ind w:firstLine="8"/>
        <w:spacing w:after="0" w:line="241" w:lineRule="auto"/>
        <w:tabs>
          <w:tab w:leader="none" w:pos="25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shares of common stock, par value $0.01 per share (“Stock”) and, at the election of the Underwriters, up to [•] additional shares of Stock. The aggregate of [•] shares of Stock to be sold by the Selling Stockholders are herein called the “Firm Shares” and the aggregate of [•] additional shares to be sold by the Selling Stockholders herein are called the “Optional Shares.” The Firm Shares and the Optional Shares that the Underwriters elect to purchase pursuant to Section 2 hereof are herein collectively called the “Shares”.</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w:t>
      </w:r>
    </w:p>
    <w:p>
      <w:pPr>
        <w:spacing w:after="0" w:line="162" w:lineRule="exact"/>
        <w:rPr>
          <w:sz w:val="20"/>
          <w:szCs w:val="20"/>
          <w:color w:val="auto"/>
        </w:rPr>
      </w:pPr>
    </w:p>
    <w:p>
      <w:pPr>
        <w:ind w:left="1120" w:hanging="464"/>
        <w:spacing w:after="0"/>
        <w:tabs>
          <w:tab w:leader="none" w:pos="11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Company represents and warrants to, and agrees with, each of the Underwriters that:</w:t>
      </w:r>
    </w:p>
    <w:p>
      <w:pPr>
        <w:spacing w:after="0" w:line="161" w:lineRule="exact"/>
        <w:rPr>
          <w:rFonts w:ascii="Arial" w:cs="Arial" w:eastAsia="Arial" w:hAnsi="Arial"/>
          <w:sz w:val="20"/>
          <w:szCs w:val="20"/>
          <w:color w:val="auto"/>
        </w:rPr>
      </w:pPr>
    </w:p>
    <w:p>
      <w:pPr>
        <w:jc w:val="both"/>
        <w:ind w:left="660" w:firstLine="644"/>
        <w:spacing w:after="0"/>
        <w:tabs>
          <w:tab w:leader="none" w:pos="1725"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 registration statement on Form S-1 (File No. 333-[•])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48" w:name="page249"/>
    <w:bookmarkEnd w:id="248"/>
    <w:p>
      <w:pPr>
        <w:jc w:val="both"/>
        <w:spacing w:after="0" w:line="239" w:lineRule="auto"/>
        <w:rPr>
          <w:sz w:val="20"/>
          <w:szCs w:val="20"/>
          <w:color w:val="auto"/>
        </w:rPr>
      </w:pPr>
      <w:r>
        <w:rPr>
          <w:rFonts w:ascii="Arial" w:cs="Arial" w:eastAsia="Arial" w:hAnsi="Arial"/>
          <w:sz w:val="20"/>
          <w:szCs w:val="20"/>
          <w:color w:val="auto"/>
        </w:rPr>
        <w:t>initiated or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70" w:lineRule="exact"/>
        <w:rPr>
          <w:sz w:val="20"/>
          <w:szCs w:val="20"/>
          <w:color w:val="auto"/>
        </w:rPr>
      </w:pPr>
    </w:p>
    <w:p>
      <w:pPr>
        <w:jc w:val="both"/>
        <w:ind w:firstLine="644"/>
        <w:spacing w:after="0"/>
        <w:tabs>
          <w:tab w:leader="none" w:pos="1169"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representation and warranty shall not apply to any statements or omissions made in reliance upon and in conformity with the Underwriter Information (as defined in Section 9(b) of this Agreement);</w:t>
      </w:r>
    </w:p>
    <w:p>
      <w:pPr>
        <w:spacing w:after="0" w:line="158" w:lineRule="exact"/>
        <w:rPr>
          <w:rFonts w:ascii="Arial" w:cs="Arial" w:eastAsia="Arial" w:hAnsi="Arial"/>
          <w:sz w:val="20"/>
          <w:szCs w:val="20"/>
          <w:color w:val="auto"/>
        </w:rPr>
      </w:pPr>
    </w:p>
    <w:p>
      <w:pPr>
        <w:jc w:val="both"/>
        <w:ind w:firstLine="644"/>
        <w:spacing w:after="0"/>
        <w:tabs>
          <w:tab w:leader="none" w:pos="113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For the purposes of this Agreement, the “Applicable Time” is [•] [a.m./p.m.]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(as supplemented by any post-effective amendment thereto)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 and as of each Time of Delivery (as supplemented by any post-effective amendment thereto) will not, include any untrue statement of a material fact or omit to state any material fact necessary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432" w:right="339" w:bottom="1440" w:gutter="0" w:footer="0" w:header="0"/>
        </w:sectPr>
      </w:pPr>
    </w:p>
    <w:bookmarkStart w:id="249" w:name="page250"/>
    <w:bookmarkEnd w:id="249"/>
    <w:p>
      <w:pPr>
        <w:jc w:val="both"/>
        <w:ind w:left="4"/>
        <w:spacing w:after="0" w:line="243" w:lineRule="auto"/>
        <w:rPr>
          <w:sz w:val="20"/>
          <w:szCs w:val="20"/>
          <w:color w:val="auto"/>
        </w:rPr>
      </w:pPr>
      <w:r>
        <w:rPr>
          <w:rFonts w:ascii="Arial" w:cs="Arial" w:eastAsia="Arial" w:hAnsi="Arial"/>
          <w:sz w:val="20"/>
          <w:szCs w:val="20"/>
          <w:color w:val="auto"/>
        </w:rPr>
        <w:t>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52" w:lineRule="exact"/>
        <w:rPr>
          <w:sz w:val="20"/>
          <w:szCs w:val="20"/>
          <w:color w:val="auto"/>
        </w:rPr>
      </w:pPr>
    </w:p>
    <w:p>
      <w:pPr>
        <w:jc w:val="both"/>
        <w:ind w:left="4" w:right="20" w:firstLine="644"/>
        <w:spacing w:after="0" w:line="243" w:lineRule="auto"/>
        <w:tabs>
          <w:tab w:leader="none" w:pos="1195" w:val="left"/>
        </w:tabs>
        <w:numPr>
          <w:ilvl w:val="1"/>
          <w:numId w:val="169"/>
        </w:numPr>
        <w:rPr>
          <w:rFonts w:ascii="Arial" w:cs="Arial" w:eastAsia="Arial" w:hAnsi="Arial"/>
          <w:sz w:val="20"/>
          <w:szCs w:val="20"/>
          <w:color w:val="auto"/>
        </w:rPr>
      </w:pPr>
      <w:r>
        <w:rPr>
          <w:rFonts w:ascii="Arial" w:cs="Arial" w:eastAsia="Arial" w:hAnsi="Arial"/>
          <w:sz w:val="20"/>
          <w:szCs w:val="20"/>
          <w:color w:val="auto"/>
        </w:rPr>
        <w:t>No documents were filed with the Commission since the Commission’s close of business on the business day immediately prior to the date of this Agreement and prior to the execution of this Agreement, except as set forth on Schedule III(b) hereto;</w:t>
      </w:r>
    </w:p>
    <w:p>
      <w:pPr>
        <w:spacing w:after="0" w:line="151" w:lineRule="exact"/>
        <w:rPr>
          <w:rFonts w:ascii="Arial" w:cs="Arial" w:eastAsia="Arial" w:hAnsi="Arial"/>
          <w:sz w:val="20"/>
          <w:szCs w:val="20"/>
          <w:color w:val="auto"/>
        </w:rPr>
      </w:pPr>
    </w:p>
    <w:p>
      <w:pPr>
        <w:jc w:val="both"/>
        <w:ind w:left="4" w:firstLine="644"/>
        <w:spacing w:after="0"/>
        <w:tabs>
          <w:tab w:leader="none" w:pos="114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58" w:lineRule="exact"/>
        <w:rPr>
          <w:rFonts w:ascii="Arial" w:cs="Arial" w:eastAsia="Arial" w:hAnsi="Arial"/>
          <w:sz w:val="20"/>
          <w:szCs w:val="20"/>
          <w:color w:val="auto"/>
        </w:rPr>
      </w:pPr>
    </w:p>
    <w:p>
      <w:pPr>
        <w:jc w:val="both"/>
        <w:ind w:left="4" w:firstLine="644"/>
        <w:spacing w:after="0" w:line="239" w:lineRule="auto"/>
        <w:tabs>
          <w:tab w:leader="none" w:pos="1179" w:val="left"/>
        </w:tabs>
        <w:numPr>
          <w:ilvl w:val="1"/>
          <w:numId w:val="169"/>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taken as a whole,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debt of the Company or any of its subsidiaries or</w:t>
      </w:r>
    </w:p>
    <w:p>
      <w:pPr>
        <w:spacing w:after="0" w:line="5" w:lineRule="exact"/>
        <w:rPr>
          <w:rFonts w:ascii="Arial" w:cs="Arial" w:eastAsia="Arial" w:hAnsi="Arial"/>
          <w:sz w:val="20"/>
          <w:szCs w:val="20"/>
          <w:color w:val="auto"/>
        </w:rPr>
      </w:pPr>
    </w:p>
    <w:p>
      <w:pPr>
        <w:jc w:val="both"/>
        <w:ind w:left="4" w:hanging="4"/>
        <w:spacing w:after="0"/>
        <w:tabs>
          <w:tab w:leader="none" w:pos="297"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individually or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432" w:right="339" w:bottom="1440" w:gutter="0" w:footer="0" w:header="0"/>
        </w:sectPr>
      </w:pPr>
    </w:p>
    <w:bookmarkStart w:id="250" w:name="page251"/>
    <w:bookmarkEnd w:id="250"/>
    <w:p>
      <w:pPr>
        <w:jc w:val="both"/>
        <w:ind w:left="-460" w:firstLine="644"/>
        <w:spacing w:after="0"/>
        <w:tabs>
          <w:tab w:leader="none" w:pos="81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Company and its subsidiaries have good and marketable title in fee simple to all real property and good and marketable title to all personal property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58" w:lineRule="exact"/>
        <w:rPr>
          <w:rFonts w:ascii="Arial" w:cs="Arial" w:eastAsia="Arial" w:hAnsi="Arial"/>
          <w:sz w:val="20"/>
          <w:szCs w:val="20"/>
          <w:color w:val="auto"/>
        </w:rPr>
      </w:pPr>
    </w:p>
    <w:p>
      <w:pPr>
        <w:jc w:val="both"/>
        <w:ind w:left="-460" w:firstLine="644"/>
        <w:spacing w:after="0"/>
        <w:tabs>
          <w:tab w:leader="none" w:pos="7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Each of the Company and each of its subsidiaries has been (i) duly organized and is validly existing and in good standing under the laws of its jurisdiction of organization, with power and authority (corporate and other) to own and/or lease its properties and conduct its business as described in the Pricing Prospectus, and (ii) duly qualified as a foreign corporation or other form of entity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the Registration Statement;</w:t>
      </w:r>
    </w:p>
    <w:p>
      <w:pPr>
        <w:spacing w:after="0" w:line="158" w:lineRule="exact"/>
        <w:rPr>
          <w:rFonts w:ascii="Arial" w:cs="Arial" w:eastAsia="Arial" w:hAnsi="Arial"/>
          <w:sz w:val="20"/>
          <w:szCs w:val="20"/>
          <w:color w:val="auto"/>
        </w:rPr>
      </w:pPr>
    </w:p>
    <w:p>
      <w:pPr>
        <w:jc w:val="both"/>
        <w:ind w:left="-460" w:firstLine="644"/>
        <w:spacing w:after="0"/>
        <w:tabs>
          <w:tab w:leader="none" w:pos="73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Prospectus; and, except as set forth in the Pricing Disclosure Package and Prospectus, all of the issued shares of capital stock of, or other equity interests in, each subsidiary of the Company have been duly and validly authorized and issued, are fully paid and non-assessable and are owned directly or indirectly by the Company, free and clear of all liens, encumbrances, equities or claims;</w:t>
      </w:r>
    </w:p>
    <w:p>
      <w:pPr>
        <w:spacing w:after="0" w:line="158" w:lineRule="exact"/>
        <w:rPr>
          <w:rFonts w:ascii="Arial" w:cs="Arial" w:eastAsia="Arial" w:hAnsi="Arial"/>
          <w:sz w:val="20"/>
          <w:szCs w:val="20"/>
          <w:color w:val="auto"/>
        </w:rPr>
      </w:pPr>
    </w:p>
    <w:p>
      <w:pPr>
        <w:jc w:val="both"/>
        <w:ind w:left="-460" w:firstLine="644"/>
        <w:spacing w:after="0" w:line="258" w:lineRule="auto"/>
        <w:tabs>
          <w:tab w:leader="none" w:pos="643"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Shares to be sold by the Selling Stockholders to the Underwriters hereunder have been duly and validly authorized and, when delivered against payment therefor as provided herein, will be duly and validly issued and fully paid and non-assessable and will conform in all material respects to the description of the Stock contained in the Pricing Disclosure Package and the Prospectus; and the sale of the Shares is not subject to any preemptive or similar rights;</w:t>
      </w:r>
    </w:p>
    <w:p>
      <w:pPr>
        <w:spacing w:after="0" w:line="140" w:lineRule="exact"/>
        <w:rPr>
          <w:rFonts w:ascii="Arial" w:cs="Arial" w:eastAsia="Arial" w:hAnsi="Arial"/>
          <w:sz w:val="19"/>
          <w:szCs w:val="19"/>
          <w:color w:val="auto"/>
        </w:rPr>
      </w:pPr>
    </w:p>
    <w:p>
      <w:pPr>
        <w:jc w:val="both"/>
        <w:ind w:left="-460" w:firstLine="644"/>
        <w:spacing w:after="0"/>
        <w:tabs>
          <w:tab w:leader="none" w:pos="87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sale of the Shares by the Selling Stockholders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20"/>
          </w:cols>
          <w:pgMar w:left="1440" w:top="1432" w:right="339" w:bottom="1440" w:gutter="0" w:footer="0" w:header="0"/>
        </w:sectPr>
      </w:pPr>
    </w:p>
    <w:bookmarkStart w:id="251" w:name="page252"/>
    <w:bookmarkEnd w:id="251"/>
    <w:p>
      <w:pPr>
        <w:jc w:val="both"/>
        <w:spacing w:after="0"/>
        <w:rPr>
          <w:sz w:val="20"/>
          <w:szCs w:val="20"/>
          <w:color w:val="auto"/>
        </w:rPr>
      </w:pPr>
      <w:r>
        <w:rPr>
          <w:rFonts w:ascii="Arial" w:cs="Arial" w:eastAsia="Arial" w:hAnsi="Arial"/>
          <w:sz w:val="20"/>
          <w:szCs w:val="20"/>
          <w:color w:val="auto"/>
        </w:rPr>
        <w:t>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as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FINRA of the terms of the sale of the Shares; of the underwriting terms and arrangements, and such consents, approvals, authorizations, registrations or qualifications as may be required under state securities or Blue Sky laws in connection with the purchase and distribution of the Shares by the Underwriters;</w:t>
      </w:r>
    </w:p>
    <w:p>
      <w:pPr>
        <w:spacing w:after="0" w:line="157" w:lineRule="exact"/>
        <w:rPr>
          <w:sz w:val="20"/>
          <w:szCs w:val="20"/>
          <w:color w:val="auto"/>
        </w:rPr>
      </w:pPr>
    </w:p>
    <w:p>
      <w:pPr>
        <w:jc w:val="both"/>
        <w:ind w:firstLine="644"/>
        <w:spacing w:after="0" w:line="255" w:lineRule="auto"/>
        <w:tabs>
          <w:tab w:leader="none" w:pos="119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143" w:lineRule="exact"/>
        <w:rPr>
          <w:rFonts w:ascii="Arial" w:cs="Arial" w:eastAsia="Arial" w:hAnsi="Arial"/>
          <w:sz w:val="19"/>
          <w:szCs w:val="19"/>
          <w:color w:val="auto"/>
        </w:rPr>
      </w:pPr>
    </w:p>
    <w:p>
      <w:pPr>
        <w:jc w:val="both"/>
        <w:ind w:firstLine="644"/>
        <w:spacing w:after="0" w:line="241" w:lineRule="auto"/>
        <w:tabs>
          <w:tab w:leader="none" w:pos="13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statements set forth in the Pricing Prospectus and Prospectus under the caption “Description of Capital Stock”, insofar as they purport to constitute a summary of the terms of the Stock, under the caption “Taxation”, and under the caption “Underwriting”, insofar as they purport to describe the provisions of the laws and documents referred to therein, are accurate, complete and fair in all material respects;</w:t>
      </w:r>
    </w:p>
    <w:p>
      <w:pPr>
        <w:spacing w:after="0" w:line="156" w:lineRule="exact"/>
        <w:rPr>
          <w:rFonts w:ascii="Arial" w:cs="Arial" w:eastAsia="Arial" w:hAnsi="Arial"/>
          <w:sz w:val="20"/>
          <w:szCs w:val="20"/>
          <w:color w:val="auto"/>
        </w:rPr>
      </w:pPr>
    </w:p>
    <w:p>
      <w:pPr>
        <w:jc w:val="both"/>
        <w:ind w:firstLine="644"/>
        <w:spacing w:after="0"/>
        <w:tabs>
          <w:tab w:leader="none" w:pos="1452" w:val="left"/>
        </w:tabs>
        <w:numPr>
          <w:ilvl w:val="0"/>
          <w:numId w:val="172"/>
        </w:numPr>
        <w:rPr>
          <w:rFonts w:ascii="Arial" w:cs="Arial" w:eastAsia="Arial" w:hAnsi="Arial"/>
          <w:sz w:val="20"/>
          <w:szCs w:val="20"/>
          <w:color w:val="auto"/>
        </w:rPr>
      </w:pPr>
      <w:r>
        <w:rPr>
          <w:rFonts w:ascii="Arial" w:cs="Arial" w:eastAsia="Arial" w:hAnsi="Arial"/>
          <w:sz w:val="20"/>
          <w:szCs w:val="20"/>
          <w:color w:val="auto"/>
        </w:rPr>
        <w:t>Other than as set forth in the Pricing Prospectus, there are no legal, governmental or regulatory investigations, actions, demands, disputes, audits, grievances, self-disclosures, qui tam actions, claims, suits, arbitrations, inquiries or proceedings (“Actions”) pending to which the Company, any of its subsidiaries or, to the knowledge of the Company, any officer or director of the Company, is a party or of which any property of the Company or any of the subsidiaries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156" w:lineRule="exact"/>
        <w:rPr>
          <w:rFonts w:ascii="Arial" w:cs="Arial" w:eastAsia="Arial" w:hAnsi="Arial"/>
          <w:sz w:val="20"/>
          <w:szCs w:val="20"/>
          <w:color w:val="auto"/>
        </w:rPr>
      </w:pPr>
    </w:p>
    <w:p>
      <w:pPr>
        <w:ind w:right="20" w:firstLine="644"/>
        <w:spacing w:after="0" w:line="246" w:lineRule="auto"/>
        <w:tabs>
          <w:tab w:leader="none" w:pos="122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Company is not an “investment company”, as such term is defined in the Investment Company Act of 1940, as amended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432" w:right="339" w:bottom="1440" w:gutter="0" w:footer="0" w:header="0"/>
        </w:sectPr>
      </w:pPr>
    </w:p>
    <w:bookmarkStart w:id="252" w:name="page253"/>
    <w:bookmarkEnd w:id="252"/>
    <w:p>
      <w:pPr>
        <w:jc w:val="both"/>
        <w:ind w:left="-460" w:firstLine="644"/>
        <w:spacing w:after="0" w:line="241" w:lineRule="auto"/>
        <w:tabs>
          <w:tab w:leader="none" w:pos="86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56" w:lineRule="exact"/>
        <w:rPr>
          <w:rFonts w:ascii="Arial" w:cs="Arial" w:eastAsia="Arial" w:hAnsi="Arial"/>
          <w:sz w:val="20"/>
          <w:szCs w:val="20"/>
          <w:color w:val="auto"/>
        </w:rPr>
      </w:pPr>
    </w:p>
    <w:p>
      <w:pPr>
        <w:jc w:val="both"/>
        <w:ind w:left="-460" w:firstLine="644"/>
        <w:spacing w:after="0" w:line="243" w:lineRule="auto"/>
        <w:tabs>
          <w:tab w:leader="none" w:pos="96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PricewaterhouseCoopers LLP, who has certified certain financial statements of the Company and its subsidiaries, is an independent public accounting firm as required by the Act and the rules and regulations of the Commission thereunder;</w:t>
      </w:r>
    </w:p>
    <w:p>
      <w:pPr>
        <w:spacing w:after="0" w:line="151" w:lineRule="exact"/>
        <w:rPr>
          <w:rFonts w:ascii="Arial" w:cs="Arial" w:eastAsia="Arial" w:hAnsi="Arial"/>
          <w:sz w:val="20"/>
          <w:szCs w:val="20"/>
          <w:color w:val="auto"/>
        </w:rPr>
      </w:pPr>
    </w:p>
    <w:p>
      <w:pPr>
        <w:jc w:val="both"/>
        <w:ind w:left="-460" w:firstLine="644"/>
        <w:spacing w:after="0"/>
        <w:tabs>
          <w:tab w:leader="none" w:pos="9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(as defined in Section 1(a)(xxxi)) as of an earlier date than it would otherwise be required to so comply under applicable law)</w:t>
      </w:r>
      <w:r>
        <w:rPr>
          <w:rFonts w:ascii="Arial" w:cs="Arial" w:eastAsia="Arial" w:hAnsi="Arial"/>
          <w:sz w:val="20"/>
          <w:szCs w:val="20"/>
          <w:b w:val="1"/>
          <w:bCs w:val="1"/>
          <w:color w:val="auto"/>
        </w:rPr>
        <w:t>;</w:t>
      </w:r>
    </w:p>
    <w:p>
      <w:pPr>
        <w:spacing w:after="0" w:line="155" w:lineRule="exact"/>
        <w:rPr>
          <w:rFonts w:ascii="Arial" w:cs="Arial" w:eastAsia="Arial" w:hAnsi="Arial"/>
          <w:sz w:val="20"/>
          <w:szCs w:val="20"/>
          <w:color w:val="auto"/>
        </w:rPr>
      </w:pPr>
    </w:p>
    <w:p>
      <w:pPr>
        <w:jc w:val="both"/>
        <w:ind w:left="-460" w:right="20" w:firstLine="644"/>
        <w:spacing w:after="0" w:line="243" w:lineRule="auto"/>
        <w:tabs>
          <w:tab w:leader="none" w:pos="78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51" w:lineRule="exact"/>
        <w:rPr>
          <w:rFonts w:ascii="Arial" w:cs="Arial" w:eastAsia="Arial" w:hAnsi="Arial"/>
          <w:sz w:val="20"/>
          <w:szCs w:val="20"/>
          <w:color w:val="auto"/>
        </w:rPr>
      </w:pPr>
    </w:p>
    <w:p>
      <w:pPr>
        <w:jc w:val="both"/>
        <w:ind w:left="-460" w:firstLine="644"/>
        <w:spacing w:after="0" w:line="241" w:lineRule="auto"/>
        <w:tabs>
          <w:tab w:leader="none" w:pos="81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Company maintains disclosure controls and procedures (as such term is defined in Rule 13a-15(e) under the Exchange Act) that comply with the requirements of the Exchange Act; such disclosure controls and procedures have been designed to provide reasonable assurance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54" w:lineRule="exact"/>
        <w:rPr>
          <w:rFonts w:ascii="Arial" w:cs="Arial" w:eastAsia="Arial" w:hAnsi="Arial"/>
          <w:sz w:val="20"/>
          <w:szCs w:val="20"/>
          <w:color w:val="auto"/>
        </w:rPr>
      </w:pPr>
    </w:p>
    <w:p>
      <w:pPr>
        <w:ind w:left="780" w:hanging="596"/>
        <w:spacing w:after="0"/>
        <w:tabs>
          <w:tab w:leader="none" w:pos="7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w:t>
      </w:r>
    </w:p>
    <w:p>
      <w:pPr>
        <w:spacing w:after="0" w:line="161" w:lineRule="exact"/>
        <w:rPr>
          <w:rFonts w:ascii="Arial" w:cs="Arial" w:eastAsia="Arial" w:hAnsi="Arial"/>
          <w:sz w:val="20"/>
          <w:szCs w:val="20"/>
          <w:color w:val="auto"/>
        </w:rPr>
      </w:pPr>
    </w:p>
    <w:p>
      <w:pPr>
        <w:jc w:val="both"/>
        <w:ind w:left="-460" w:firstLine="644"/>
        <w:spacing w:after="0" w:line="241" w:lineRule="auto"/>
        <w:tabs>
          <w:tab w:leader="none" w:pos="89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Neither the Company nor any of its subsidiaries, nor any director or officer of the Company, nor, to the Company’s knowledge, any other employee of the Company or its subsidiaries, any agent, affiliate or other person associated with or acting on behalf of the Company or any of its subsidiaries has (i) made, offered, promised or authorized any unlawful contribution, gift, entertainment or other unlawful expense (or taken 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20"/>
          </w:cols>
          <w:pgMar w:left="1440" w:top="1432" w:right="339" w:bottom="1440" w:gutter="0" w:footer="0" w:header="0"/>
        </w:sectPr>
      </w:pPr>
    </w:p>
    <w:bookmarkStart w:id="253" w:name="page254"/>
    <w:bookmarkEnd w:id="253"/>
    <w:p>
      <w:pPr>
        <w:jc w:val="both"/>
        <w:spacing w:after="0"/>
        <w:rPr>
          <w:sz w:val="20"/>
          <w:szCs w:val="20"/>
          <w:color w:val="auto"/>
        </w:rPr>
      </w:pPr>
      <w:r>
        <w:rPr>
          <w:rFonts w:ascii="Arial" w:cs="Arial" w:eastAsia="Arial" w:hAnsi="Arial"/>
          <w:sz w:val="20"/>
          <w:szCs w:val="20"/>
          <w:color w:val="auto"/>
        </w:rPr>
        <w:t>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w:t>
      </w:r>
    </w:p>
    <w:p>
      <w:pPr>
        <w:spacing w:after="0" w:line="159" w:lineRule="exact"/>
        <w:rPr>
          <w:sz w:val="20"/>
          <w:szCs w:val="20"/>
          <w:color w:val="auto"/>
        </w:rPr>
      </w:pPr>
    </w:p>
    <w:p>
      <w:pPr>
        <w:jc w:val="both"/>
        <w:ind w:firstLine="644"/>
        <w:spacing w:after="0"/>
        <w:tabs>
          <w:tab w:leader="none" w:pos="149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57" w:lineRule="exact"/>
        <w:rPr>
          <w:rFonts w:ascii="Arial" w:cs="Arial" w:eastAsia="Arial" w:hAnsi="Arial"/>
          <w:sz w:val="20"/>
          <w:szCs w:val="20"/>
          <w:color w:val="auto"/>
        </w:rPr>
      </w:pPr>
    </w:p>
    <w:p>
      <w:pPr>
        <w:jc w:val="both"/>
        <w:ind w:firstLine="644"/>
        <w:spacing w:after="0"/>
        <w:tabs>
          <w:tab w:leader="none" w:pos="140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Neither the Company nor any of its subsidiaries, nor any director or officer of the Company, nor, to the Company’s knowledge, any other employee of the Company or its subsidiaries or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(a “Sanctioned Jurisdiction”);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w:t>
      </w:r>
    </w:p>
    <w:p>
      <w:pPr>
        <w:spacing w:after="0" w:line="155" w:lineRule="exact"/>
        <w:rPr>
          <w:rFonts w:ascii="Arial" w:cs="Arial" w:eastAsia="Arial" w:hAnsi="Arial"/>
          <w:sz w:val="20"/>
          <w:szCs w:val="20"/>
          <w:color w:val="auto"/>
        </w:rPr>
      </w:pPr>
    </w:p>
    <w:p>
      <w:pPr>
        <w:jc w:val="both"/>
        <w:ind w:firstLine="644"/>
        <w:spacing w:after="0"/>
        <w:tabs>
          <w:tab w:leader="none" w:pos="152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accordance with GAAP, in all material respects, the information required to be stated therein. The selected financial data and the summary financial information included in the Registration Statement,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980" w:top="1432" w:right="339" w:bottom="1440" w:gutter="0" w:footer="0" w:header="0"/>
        </w:sectPr>
      </w:pPr>
    </w:p>
    <w:bookmarkStart w:id="254" w:name="page255"/>
    <w:bookmarkEnd w:id="254"/>
    <w:p>
      <w:pPr>
        <w:jc w:val="both"/>
        <w:spacing w:after="0"/>
        <w:rPr>
          <w:sz w:val="20"/>
          <w:szCs w:val="20"/>
          <w:color w:val="auto"/>
        </w:rPr>
      </w:pPr>
      <w:r>
        <w:rPr>
          <w:rFonts w:ascii="Arial" w:cs="Arial" w:eastAsia="Arial" w:hAnsi="Arial"/>
          <w:sz w:val="20"/>
          <w:szCs w:val="20"/>
          <w:color w:val="auto"/>
        </w:rPr>
        <w:t>Pricing Prospectus and the Prospectus present fairly, in all material respects, the information shown therein and, other than non-GAAP measures,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158" w:lineRule="exact"/>
        <w:rPr>
          <w:sz w:val="20"/>
          <w:szCs w:val="20"/>
          <w:color w:val="auto"/>
        </w:rPr>
      </w:pPr>
    </w:p>
    <w:p>
      <w:pPr>
        <w:jc w:val="both"/>
        <w:ind w:firstLine="644"/>
        <w:spacing w:after="0"/>
        <w:tabs>
          <w:tab w:leader="none" w:pos="1378"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a Material Adverse Effect, the Company and each of its subsidiaries (i) own or otherwise possess adequate rights to use all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their respective businesses, (ii) to the knowledge of the Company, do not, through the conduct of their respective businesses, infringe, violate or conflict with any such rights of others and (iii) have not received any written notice of any claim of infringement, violation or conflict with, any such rights of others;</w:t>
      </w:r>
    </w:p>
    <w:p>
      <w:pPr>
        <w:spacing w:after="0" w:line="158" w:lineRule="exact"/>
        <w:rPr>
          <w:rFonts w:ascii="Arial" w:cs="Arial" w:eastAsia="Arial" w:hAnsi="Arial"/>
          <w:sz w:val="20"/>
          <w:szCs w:val="20"/>
          <w:color w:val="auto"/>
        </w:rPr>
      </w:pPr>
    </w:p>
    <w:p>
      <w:pPr>
        <w:jc w:val="both"/>
        <w:ind w:firstLine="644"/>
        <w:spacing w:after="0" w:line="239" w:lineRule="auto"/>
        <w:tabs>
          <w:tab w:leader="none" w:pos="141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a Material Adverse Effect, (i)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and are, to the knowledge of the Company, free and clear of all material bugs, errors, defects, Trojan horses, time bombs, malware and other corruptants; (ii) the Company and its subsidiaries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(iii) to the knowledge of the Company, there have been no breaches, security incidents, violations, outages or unauthorized uses of or accesses to same, except for those that have been remedied without material cost or liability or the duty to notify any other person, nor any incidents under internal review or investigations relating to the same; (iv) the Company and its subsidiaries are presently in compliance and, for the past three (3) years, been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50" w:lineRule="exact"/>
        <w:rPr>
          <w:rFonts w:ascii="Arial" w:cs="Arial" w:eastAsia="Arial" w:hAnsi="Arial"/>
          <w:sz w:val="20"/>
          <w:szCs w:val="20"/>
          <w:color w:val="auto"/>
        </w:rPr>
      </w:pPr>
    </w:p>
    <w:p>
      <w:pPr>
        <w:jc w:val="both"/>
        <w:ind w:firstLine="644"/>
        <w:spacing w:after="0" w:line="253" w:lineRule="auto"/>
        <w:tabs>
          <w:tab w:leader="none" w:pos="1469" w:val="left"/>
        </w:tabs>
        <w:numPr>
          <w:ilvl w:val="0"/>
          <w:numId w:val="175"/>
        </w:numPr>
        <w:rPr>
          <w:rFonts w:ascii="Arial" w:cs="Arial" w:eastAsia="Arial" w:hAnsi="Arial"/>
          <w:sz w:val="20"/>
          <w:szCs w:val="20"/>
          <w:color w:val="auto"/>
        </w:rPr>
      </w:pPr>
      <w:r>
        <w:rPr>
          <w:rFonts w:ascii="Arial" w:cs="Arial" w:eastAsia="Arial" w:hAnsi="Arial"/>
          <w:sz w:val="20"/>
          <w:szCs w:val="20"/>
          <w:i w:val="1"/>
          <w:iCs w:val="1"/>
          <w:color w:val="auto"/>
        </w:rPr>
        <w:t>Privacy</w:t>
      </w:r>
      <w:r>
        <w:rPr>
          <w:rFonts w:ascii="Arial" w:cs="Arial" w:eastAsia="Arial" w:hAnsi="Arial"/>
          <w:sz w:val="20"/>
          <w:szCs w:val="20"/>
          <w:color w:val="auto"/>
        </w:rPr>
        <w:t>. (i) The Company and its subsidiaries are in compliance and, for the past three (3) years, have</w:t>
      </w:r>
      <w:r>
        <w:rPr>
          <w:rFonts w:ascii="Arial" w:cs="Arial" w:eastAsia="Arial" w:hAnsi="Arial"/>
          <w:sz w:val="20"/>
          <w:szCs w:val="20"/>
          <w:i w:val="1"/>
          <w:iCs w:val="1"/>
          <w:color w:val="auto"/>
        </w:rPr>
        <w:t xml:space="preserve"> </w:t>
      </w:r>
      <w:r>
        <w:rPr>
          <w:rFonts w:ascii="Arial" w:cs="Arial" w:eastAsia="Arial" w:hAnsi="Arial"/>
          <w:sz w:val="20"/>
          <w:szCs w:val="20"/>
          <w:color w:val="auto"/>
        </w:rPr>
        <w:t>been in compliance, with all internal and external privacy policies, contractual obligations, industry standards and applicable state and federal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980" w:top="1432" w:right="339" w:bottom="1440" w:gutter="0" w:footer="0" w:header="0"/>
        </w:sectPr>
      </w:pPr>
    </w:p>
    <w:bookmarkStart w:id="255" w:name="page256"/>
    <w:bookmarkEnd w:id="255"/>
    <w:p>
      <w:pPr>
        <w:jc w:val="both"/>
        <w:spacing w:after="0" w:line="239" w:lineRule="auto"/>
        <w:rPr>
          <w:sz w:val="20"/>
          <w:szCs w:val="20"/>
          <w:color w:val="auto"/>
        </w:rPr>
      </w:pPr>
      <w:r>
        <w:rPr>
          <w:rFonts w:ascii="Arial" w:cs="Arial" w:eastAsia="Arial" w:hAnsi="Arial"/>
          <w:sz w:val="20"/>
          <w:szCs w:val="20"/>
          <w:color w:val="auto"/>
        </w:rPr>
        <w:t>(including without limitation the Health Insurance Portability and Accountability Act of 1996, as amended by the Health Information Technology for Economic and Clinical Health Act and the California Consumer Privacy Act), statutes, judgments, orders, rules and regulations of any court or arbitrator or other governmental or regulatory authority, in each case regarding the security of IT Systems and regarding the collection, use, transfer, import, export, storage, protection, disposal and disclosure by the Company or any subsidiary of Personal Data (“Data Security Obligations”), except in each case where the failure to comply would not reasonably be expected to have Material Adverse Effect, (ii) neither the Company nor any of its subsidiaries has received any notification of or complaint regarding, or aware of any facts that would reasonably indicate non-compliance with any Data Security Obligation, except as would not be expected to have a Material Adverse Effect and (iii) there is no pending, or to the knowledge of the Company, threatened, action, suit or proceeding by or before any court or governmental agency, authority or body pending or threatened alleging non-compliance with any Data Security Obligation, except as would not reasonably be expected to have a Material Adverse Effect. To the knowledge of the Company, there has been no unauthorized access to such Personal Data, except as would not reasonably be expected to have a Material Adverse Effect. The Company and its subsidiaries have made all disclosures to users or customers required by applicable laws and regulatory rules or requirements, and no such disclosures have been inaccurate or in violation of any applicable laws or regulatory rules and requirements, except in each such case as would not reasonably be expected to have a Material Adverse Effect;</w:t>
      </w:r>
    </w:p>
    <w:p>
      <w:pPr>
        <w:spacing w:after="0" w:line="150" w:lineRule="exact"/>
        <w:rPr>
          <w:sz w:val="20"/>
          <w:szCs w:val="20"/>
          <w:color w:val="auto"/>
        </w:rPr>
      </w:pPr>
    </w:p>
    <w:p>
      <w:pPr>
        <w:jc w:val="both"/>
        <w:ind w:firstLine="644"/>
        <w:spacing w:after="0" w:line="242" w:lineRule="auto"/>
        <w:tabs>
          <w:tab w:leader="none" w:pos="1516" w:val="left"/>
        </w:tabs>
        <w:numPr>
          <w:ilvl w:val="0"/>
          <w:numId w:val="176"/>
        </w:numPr>
        <w:rPr>
          <w:rFonts w:ascii="Arial" w:cs="Arial" w:eastAsia="Arial" w:hAnsi="Arial"/>
          <w:sz w:val="20"/>
          <w:szCs w:val="20"/>
          <w:color w:val="auto"/>
        </w:rPr>
      </w:pPr>
      <w:r>
        <w:rPr>
          <w:rFonts w:ascii="Arial" w:cs="Arial" w:eastAsia="Arial" w:hAnsi="Arial"/>
          <w:sz w:val="20"/>
          <w:szCs w:val="20"/>
          <w:i w:val="1"/>
          <w:iCs w:val="1"/>
          <w:color w:val="auto"/>
        </w:rPr>
        <w:t>Software</w:t>
      </w:r>
      <w:r>
        <w:rPr>
          <w:rFonts w:ascii="Arial" w:cs="Arial" w:eastAsia="Arial" w:hAnsi="Arial"/>
          <w:sz w:val="20"/>
          <w:szCs w:val="20"/>
          <w:color w:val="auto"/>
        </w:rPr>
        <w:t>. Except as would not reasonably be expected to have a Material Adverse Effect, (i)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(ii) neither the Company nor its subsidiaries uses or distributes or has used or distributed any Open Source Software in any manner that, to the knowledge of the Company, requires or has required (A) the Company or any subsidiary to permit reverse engineering of any software code or other technology owned by the Company or a subsidiary or (B) any software code or other technology owned by the Company or a subsidiary to be (1) disclosed or distributed in source code form, (2) licensed for the purpose of making derivative works or (3) redistributed at no charge;</w:t>
      </w:r>
    </w:p>
    <w:p>
      <w:pPr>
        <w:spacing w:after="0" w:line="158" w:lineRule="exact"/>
        <w:rPr>
          <w:rFonts w:ascii="Arial" w:cs="Arial" w:eastAsia="Arial" w:hAnsi="Arial"/>
          <w:sz w:val="20"/>
          <w:szCs w:val="20"/>
          <w:color w:val="auto"/>
        </w:rPr>
      </w:pPr>
    </w:p>
    <w:p>
      <w:pPr>
        <w:jc w:val="both"/>
        <w:ind w:firstLine="644"/>
        <w:spacing w:after="0" w:line="243" w:lineRule="auto"/>
        <w:tabs>
          <w:tab w:leader="none" w:pos="14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151" w:lineRule="exact"/>
        <w:rPr>
          <w:rFonts w:ascii="Arial" w:cs="Arial" w:eastAsia="Arial" w:hAnsi="Arial"/>
          <w:sz w:val="20"/>
          <w:szCs w:val="20"/>
          <w:color w:val="auto"/>
        </w:rPr>
      </w:pPr>
    </w:p>
    <w:p>
      <w:pPr>
        <w:jc w:val="both"/>
        <w:ind w:firstLine="644"/>
        <w:spacing w:after="0" w:line="243" w:lineRule="auto"/>
        <w:tabs>
          <w:tab w:leader="none" w:pos="144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151" w:lineRule="exact"/>
        <w:rPr>
          <w:rFonts w:ascii="Arial" w:cs="Arial" w:eastAsia="Arial" w:hAnsi="Arial"/>
          <w:sz w:val="20"/>
          <w:szCs w:val="20"/>
          <w:color w:val="auto"/>
        </w:rPr>
      </w:pPr>
    </w:p>
    <w:p>
      <w:pPr>
        <w:ind w:right="20" w:firstLine="644"/>
        <w:spacing w:after="0" w:line="246" w:lineRule="auto"/>
        <w:tabs>
          <w:tab w:leader="none" w:pos="149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There is and has been no failure on the part of the Company or any of the Company’s directors or officers, in their capacities as such, to comply with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1432" w:right="339" w:bottom="1440" w:gutter="0" w:footer="0" w:header="0"/>
        </w:sectPr>
      </w:pPr>
    </w:p>
    <w:bookmarkStart w:id="256" w:name="page257"/>
    <w:bookmarkEnd w:id="256"/>
    <w:p>
      <w:pPr>
        <w:spacing w:after="0" w:line="246" w:lineRule="auto"/>
        <w:rPr>
          <w:sz w:val="20"/>
          <w:szCs w:val="20"/>
          <w:color w:val="auto"/>
        </w:rPr>
      </w:pPr>
      <w:r>
        <w:rPr>
          <w:rFonts w:ascii="Arial" w:cs="Arial" w:eastAsia="Arial" w:hAnsi="Arial"/>
          <w:sz w:val="20"/>
          <w:szCs w:val="20"/>
          <w:color w:val="auto"/>
        </w:rPr>
        <w:t>of the Sarbanes-Oxley Act of 2002, as amended and the rules and regulations promulgated in connection therewith (the “Sarbanes-Oxley Act”), including Section 402 related to loans and Sections 302 and 906 related to certifications;</w:t>
      </w:r>
    </w:p>
    <w:p>
      <w:pPr>
        <w:spacing w:after="0" w:line="150" w:lineRule="exact"/>
        <w:rPr>
          <w:sz w:val="20"/>
          <w:szCs w:val="20"/>
          <w:color w:val="auto"/>
        </w:rPr>
      </w:pPr>
    </w:p>
    <w:p>
      <w:pPr>
        <w:jc w:val="both"/>
        <w:ind w:right="20" w:firstLine="644"/>
        <w:spacing w:after="0" w:line="243" w:lineRule="auto"/>
        <w:tabs>
          <w:tab w:leader="none" w:pos="154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151" w:lineRule="exact"/>
        <w:rPr>
          <w:rFonts w:ascii="Arial" w:cs="Arial" w:eastAsia="Arial" w:hAnsi="Arial"/>
          <w:sz w:val="20"/>
          <w:szCs w:val="20"/>
          <w:color w:val="auto"/>
        </w:rPr>
      </w:pPr>
    </w:p>
    <w:p>
      <w:pPr>
        <w:jc w:val="both"/>
        <w:ind w:firstLine="644"/>
        <w:spacing w:after="0" w:line="239" w:lineRule="auto"/>
        <w:tabs>
          <w:tab w:leader="none" w:pos="159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Except as would not, individually or in the aggregate, reasonably be expected to have a Material Adverse Effect on the Company and its subsidiaries, taken as a whole, the Company and each of its subsidiaries owns or possesses, and has owned and possessed at all times, all right, title, and interest in and to all permits, licenses, sub-licenses, approvals, ratifications, waivers, grants, concessions, exemptions, clearances, accreditations, consents, franchises, certificates of need and other approvals or authorizations or other rights and privileges issued, or required, by any United States or foreign, federal, state, or local governmental or quasi-governmental body, board, commission, bureau, or other regulatory authority, agency, including courts and other judicial bodies, or any self-regulatory body or authority, including any instrumentality or entity designed to act for or on behalf of the foregoing, or any arbitrator (“Governmental Authority”) or any other accrediting or certifying organization or quasi-governmental authority (“Permits”) as necessary under applicable law to own their respective properties and conduct their respective businesses in the manner described in the Registration Statement, the Pricing Prospectus and the Prospectus. Except as would not, individually or in the aggregate, reasonably be expected to have a Material Adverse Effect on the Company and its subsidiaries, taken as a whole, the Company and each of its subsidiaries is, and has always been, in compliance with the terms and conditions of such Permits, and all such Permits are now, and have at all times been, unrestricted, in good standing, in full force and effect and not subject to meritorious challenge. Except as would not, individually or in the aggregate, reasonably be expected to have a Material Adverse Effect on the Company and its subsidiaries, taken as a whole, there is no pending or threatened Action commenced, brought, conducted, or heard by or before, or otherwise involving, any Governmental Authority to revoke, cancel, rescind, suspend, restrict, materially modify, or refuse to renew any Permit owned or held by the Company or its subsidiaries. To the Company’s knowledge, no event has occurred and no facts exist with respect to any such Permits that allow, or after notice or the lapse of time or both, would allow the suspension, revocation, or termination of any Permits, or would result in any other impairment in the rights of any holder thereof. Neither the Company nor any of its subsidiaries has, at any time, received any written notice or communication from any Governmental Authority regarding any violation of any such Permits. Except as would not, individually or in the aggregate, reasonably be expected to have a Material Adverse Effect on the Company and its subsidiaries, taken as a whole, the Company and each of its subsidiaries has made all declarations and filings with all applicable Governmental Authorities with respect to each Permit;</w:t>
      </w:r>
    </w:p>
    <w:p>
      <w:pPr>
        <w:spacing w:after="0" w:line="174" w:lineRule="exact"/>
        <w:rPr>
          <w:rFonts w:ascii="Arial" w:cs="Arial" w:eastAsia="Arial" w:hAnsi="Arial"/>
          <w:sz w:val="20"/>
          <w:szCs w:val="20"/>
          <w:color w:val="auto"/>
        </w:rPr>
      </w:pPr>
    </w:p>
    <w:p>
      <w:pPr>
        <w:ind w:right="20" w:firstLine="644"/>
        <w:spacing w:after="0" w:line="246" w:lineRule="auto"/>
        <w:tabs>
          <w:tab w:leader="none" w:pos="144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Company and its subsidiaries, taken as a whole, are insured against such losses and risks and in such amounts as are prudent and customary in the businesses in which they are engaged and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1432" w:right="339" w:bottom="1440" w:gutter="0" w:footer="0" w:header="0"/>
        </w:sectPr>
      </w:pPr>
    </w:p>
    <w:bookmarkStart w:id="257" w:name="page258"/>
    <w:bookmarkEnd w:id="257"/>
    <w:p>
      <w:pPr>
        <w:ind w:left="-460" w:right="20" w:firstLine="644"/>
        <w:spacing w:after="0" w:line="246" w:lineRule="auto"/>
        <w:tabs>
          <w:tab w:leader="none" w:pos="996"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Company has been and is an “emerging growth company” as defined in Section 2(a)(19) of the Act (an “Emerging Growth Company”);</w:t>
      </w:r>
    </w:p>
    <w:p>
      <w:pPr>
        <w:spacing w:after="0" w:line="149" w:lineRule="exact"/>
        <w:rPr>
          <w:rFonts w:ascii="Arial" w:cs="Arial" w:eastAsia="Arial" w:hAnsi="Arial"/>
          <w:sz w:val="20"/>
          <w:szCs w:val="20"/>
          <w:color w:val="auto"/>
        </w:rPr>
      </w:pPr>
    </w:p>
    <w:p>
      <w:pPr>
        <w:jc w:val="both"/>
        <w:ind w:left="-460" w:firstLine="644"/>
        <w:spacing w:after="0" w:line="239" w:lineRule="auto"/>
        <w:tabs>
          <w:tab w:leader="none" w:pos="114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Company and its subsidiaries are, and at all times have been, in material compliance with all Health Care Laws. For purposes of this Agreement, “Health Care Laws” means any United States federal, state or local or any foreign law (including common law), statute, ordinance, code, executive order, accreditation or certification standard, resolution, promulgation, policy, treaty, directive, interpretation, guideline, rule, regulation or similar mandates of any Governmental Authority (“Laws”) related to the provision of health care goods, services or treatment (including via telehealth or telemedicine), the billing and reimbursement therefor, the administration thereof, or the facilities therefor, including: (a) all Laws related to billing or submission of claims, reimbursement, or health care fraud and abuse, including the federal Anti-Kickback Statute (42 U.S.C. § 1320a-7b(b)), the federal Physician Self-Referral Prohibition (commonly referred to as the “Stark Law”) (42 U.S.C. § 1395nn), the federal False Claims Act (31 U.S.C. § 3729 et seq.), the federal Civil Monetary Penalties Law (42 U.S.C. § 1320a- 7a), the federal Exclusion Laws (42 U.S.C.§ 1320a-7), the Program Fraud Civil Remedies Act (31 U.S.C. §§ 3801-3812), the regulations promulgated pursuant to each of the foregoing statutes, and all other federal statutes or regulations governing the submission of claims and the relationships between health care providers, payors and patients, and any comparable self-referral or fraud and abuse Laws promulgated by any state including, without limitation, so-called all payor self-referral or fraud and abuse Laws; (b) the U.S. Health Insurance Portability and Accountability Act of 1996 (42 U.S.C. Section 1320d et seq.), as amended by the HITECH ACT, and all regulations promulgated thereunder, Section 543 of the Federal Public Health Services Act, 42 U.S.C. § 290dd-2, and its implementing regulations, 42 C.F.R. Part 2, and any state law or regulation the purpose of which is to protect the privacy of individually-identifiable patient information; (c) the Patient Protection and Affordable Care Act (Pub. L. 111−148), as amended by the Health Care and Education Reconciliation Act of 2010 (Pub. L. 111−152), and the regulations promulgated pursuant to each of the foregoing Laws; (d) Title XVIII of the Social Security Act, 42 U.S.C. §§ 1395-1395lll (the Medicare statute); (e) Title XIX of the Social Security Act, 42 U.S.C. §§ 1396-1396w-5 (the Medicaid statute); (f) quality and safety certification and accreditation standards and requirements; (g) the billing, coding or submission of claims or collection of accounts receivable or refund of overpayments; (h) any Law or precedent relating to the corporate practice of the learned or licensed healthcare professions; (i) any state requirements for business corporations or professional corporations or associations that provide medical services or practice medicine or related learned healthcare profession; (j) any Laws pertaining to standards of professional conduct, relating to the Business, (k) any Laws pertaining to licensing, certification, accreditation and any other requirements of Law relating to the provision of health care services in connection with any and all of the foregoing by the Company and its subsidiaries, (l) any Laws related to the ordering, dispensing, and diversion of controlled substances, including 21 U.S.C. § 801, et seq. (known as the “Controlled Substances Act”), as amended, and all other applicable federal and state controlled substances and drug diversion Laws and regulations promulgated thereunder; (n) all applicable implementing regulations, rules, ordinances and governmental orders related to any of the foregoing; (m) all Laws regarding the selection, deselection, credentialing and supervision of physicians and other licensed professionals; and (n) any other requirements of Law relating to the Business.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20"/>
          </w:cols>
          <w:pgMar w:left="1440" w:top="1432" w:right="339" w:bottom="1440" w:gutter="0" w:footer="0" w:header="0"/>
        </w:sectPr>
      </w:pPr>
    </w:p>
    <w:bookmarkStart w:id="258" w:name="page259"/>
    <w:bookmarkEnd w:id="258"/>
    <w:p>
      <w:pPr>
        <w:jc w:val="both"/>
        <w:spacing w:after="0" w:line="252" w:lineRule="auto"/>
        <w:rPr>
          <w:sz w:val="20"/>
          <w:szCs w:val="20"/>
          <w:color w:val="auto"/>
        </w:rPr>
      </w:pPr>
      <w:r>
        <w:rPr>
          <w:rFonts w:ascii="Arial" w:cs="Arial" w:eastAsia="Arial" w:hAnsi="Arial"/>
          <w:sz w:val="19"/>
          <w:szCs w:val="19"/>
          <w:color w:val="auto"/>
        </w:rPr>
        <w:t>the Company nor any of its subsidiaries has received notice of any claim, action, suit, proceeding, hearing, enforcement, investigation, arbitration or other Action from any court or arbitrator or Governmental Authority or third party alleging that the Company or any subsidiary is in violation of any Health Care Laws nor is any such claim, action, suit, proceeding, hearing, enforcement, investigation, arbitration or other Action threatened.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Neither the Company nor any subsidiary (a) is a party to a corporate integrity agreement (b) has any reporting obligations pursuant to any settlement agreement entered into with any Governmental Authority; (c) except as would not, individually or in the aggregate, reasonably be expected to have a Material Adverse Effect on the Company and its subsidiaries, taken as a whole, has been the subject of any Federal Health Care Government Program (as defined in 42 U.S.C. §1320a-7b(f)) investigation conducted by any federal or state enforcement agency; (d) has been a defendant in any qui tam/False Claims Act litigation; (e) except as would not, individually or in the aggregate, reasonably be expected to have a Material Adverse Effect on the Company and its subsidiaries, taken as a whole, has been served with or received any search warrant, subpoena, civil investigation demand, contact letter, or telephone or personal contact by or from any federal or state enforcement agency; or (f) except as would not, individually or in the aggregate, reasonably be expected to have a Material Adverse Effect on the Company and its subsidiaries, taken as a whole, has received any complaints through such Company’s or any subsidiary’s compliance “hotline” from the Company’s or subsidiaries’ employees, independent contractors, vendors, licensed professionals, patients, or any other persons that could reasonably be considered to indicate that the Company or any subsidiary has violated, or is currently in violation of, any Health Care Law. Neither the Company nor any subsidiary, nor any current member, officer, director, member of senior management, employee or licensed professional of the Company or any subsidiary has been excluded or suspended from participation in any Federal Health Care Program, or have been disbarred, suspended or are otherwise ineligible to participate in any Federal Health Care Program or been subject to any order or consent decree of, or criminal or civil fine or penalty imposed by, any Governmental Authority related to, fraud, theft, embezzlement, breach of fiduciary responsibility, financial misconduct, or obstruction of an investigation of controlled substances, or, to the knowledge of the Company, committed any offense that may reasonably serve as the basis for any such exclusion, suspension, disbarment or other ineligibility; and</w:t>
      </w:r>
    </w:p>
    <w:p>
      <w:pPr>
        <w:spacing w:after="0" w:line="394" w:lineRule="exact"/>
        <w:rPr>
          <w:sz w:val="20"/>
          <w:szCs w:val="20"/>
          <w:color w:val="auto"/>
        </w:rPr>
      </w:pPr>
    </w:p>
    <w:p>
      <w:pPr>
        <w:jc w:val="both"/>
        <w:ind w:firstLine="644"/>
        <w:spacing w:after="0"/>
        <w:tabs>
          <w:tab w:leader="none" w:pos="162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Company, its subsidiaries, and, to the knowledge of the Company, all of its or their respective directors, officers, employees, and independent contractors are, and at all times have been, in compliance in all material respects with (i) all applicable conditions for coverage and participating physician and supplier requirements of certain private non-governmental payors or programs, including any private insurance payor or program, self-insured employer, or other third-party payors (“Private Programs”) and all federal and state reimbursement and other governmental health care programs, including, without limitation, Medicare, Medicaid and any Federal Health Care Program (“Government Programs”), and (ii) the terms,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1432" w:right="339" w:bottom="1440" w:gutter="0" w:footer="0" w:header="0"/>
        </w:sectPr>
      </w:pPr>
    </w:p>
    <w:bookmarkStart w:id="259" w:name="page260"/>
    <w:bookmarkEnd w:id="259"/>
    <w:p>
      <w:pPr>
        <w:jc w:val="both"/>
        <w:ind w:left="660"/>
        <w:spacing w:after="0"/>
        <w:rPr>
          <w:sz w:val="20"/>
          <w:szCs w:val="20"/>
          <w:color w:val="auto"/>
        </w:rPr>
      </w:pPr>
      <w:r>
        <w:rPr>
          <w:rFonts w:ascii="Arial" w:cs="Arial" w:eastAsia="Arial" w:hAnsi="Arial"/>
          <w:sz w:val="20"/>
          <w:szCs w:val="20"/>
          <w:color w:val="auto"/>
        </w:rPr>
        <w:t>provisions of any contract between the Company, its subsidiaries, and any of its or their respective employees, and independent contractors and a Government or Private Program under which the Company or its subsidiaries directly or indirectly receives payments for medical services provided to such program’s beneficiaries at the Company, its subsidiaries, and any of its or their respective employees, and independent contractors (“Payor Agreements”), including all record maintenance requirements. Except as would not, individually or in the aggregate, reasonably be expected to have a Material Adverse Effect on the Company and its subsidiaries, taken as a whole, the Payor Agreements are each in full force and effect, and no events or facts exists that would cause any Payor Agreement to be suspended, terminated, restricted or withdrawn.</w:t>
      </w:r>
    </w:p>
    <w:p>
      <w:pPr>
        <w:spacing w:after="0" w:line="158" w:lineRule="exact"/>
        <w:rPr>
          <w:sz w:val="20"/>
          <w:szCs w:val="20"/>
          <w:color w:val="auto"/>
        </w:rPr>
      </w:pPr>
    </w:p>
    <w:p>
      <w:pPr>
        <w:ind w:firstLine="656"/>
        <w:spacing w:after="0" w:line="246" w:lineRule="auto"/>
        <w:tabs>
          <w:tab w:leader="none" w:pos="113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Each of the Selling Stockholders severally and not jointly represents and warrants to, and agrees with, each of the Underwriters and the Company that:</w:t>
      </w:r>
    </w:p>
    <w:p>
      <w:pPr>
        <w:spacing w:after="0" w:line="149" w:lineRule="exact"/>
        <w:rPr>
          <w:rFonts w:ascii="Arial" w:cs="Arial" w:eastAsia="Arial" w:hAnsi="Arial"/>
          <w:sz w:val="20"/>
          <w:szCs w:val="20"/>
          <w:color w:val="auto"/>
        </w:rPr>
      </w:pPr>
    </w:p>
    <w:p>
      <w:pPr>
        <w:jc w:val="both"/>
        <w:ind w:left="660" w:firstLine="644"/>
        <w:spacing w:after="0"/>
        <w:tabs>
          <w:tab w:leader="none" w:pos="173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All consents, approvals, authorizations and orders necessary for the execution and delivery by such Selling Stockholder of this Agreement and the Power of Attorney and the Custody Agreement referred to below, and for the sale and delivery of the Shares to be sold by such Selling Stockholder hereunder, have been obtained, except for the registration under the Act of the Shares and such consents, approvals, authorizations and orders (x) as may be required under state securities or Blue Sky laws or the rules and regulations of FINRA, or (y) that have already been obtained; and such Selling Stockholder has full right, power and authority to enter into this Agreement, the Power of Attorney and the Custody Agreement and to sell, assign, transfer and deliver the Shares to be sold by such Selling Stockholder hereunder;</w:t>
      </w:r>
    </w:p>
    <w:p>
      <w:pPr>
        <w:spacing w:after="0" w:line="158" w:lineRule="exact"/>
        <w:rPr>
          <w:rFonts w:ascii="Arial" w:cs="Arial" w:eastAsia="Arial" w:hAnsi="Arial"/>
          <w:sz w:val="20"/>
          <w:szCs w:val="20"/>
          <w:color w:val="auto"/>
        </w:rPr>
      </w:pPr>
    </w:p>
    <w:p>
      <w:pPr>
        <w:jc w:val="both"/>
        <w:ind w:left="660" w:firstLine="644"/>
        <w:spacing w:after="0"/>
        <w:tabs>
          <w:tab w:leader="none" w:pos="186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sale of the Shares to be sold by such Selling Stockholder hereunder and the compliance by such Selling Stockholder with this Agreement, the Power of Attorney and the Custody Agreement and the consummation of the transactions herein and therein contemplated will not conflict with or result in a breach or violation of any of the terms or provisions of, or constitute a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nor will such action result in any violation of the provisions of the Certificate of Incorporation or Bylaws of such Selling Stockholder if such Selling Stockholder is a corporation, the partnership agreement of such Selling Stockholder if such Selling Stockholder is a partnership (or similar applicable organizational document) or any statute or any judgment, order, rule or regulation of any court or governmental agency or body having jurisdiction over such Selling Stockholder or any of its subsidiaries or any property or assets of such Selling Stockholder except, in each case, for any such conflict, breach, violation or default that would not, individually or in the aggregate, reasonably be expected to materially impair the ability of such Selling Stockholder to consummate the transactions contemplated by this Agreement;</w:t>
      </w:r>
    </w:p>
    <w:p>
      <w:pPr>
        <w:spacing w:after="0" w:line="155" w:lineRule="exact"/>
        <w:rPr>
          <w:rFonts w:ascii="Arial" w:cs="Arial" w:eastAsia="Arial" w:hAnsi="Arial"/>
          <w:sz w:val="20"/>
          <w:szCs w:val="20"/>
          <w:color w:val="auto"/>
        </w:rPr>
      </w:pPr>
    </w:p>
    <w:p>
      <w:pPr>
        <w:jc w:val="both"/>
        <w:ind w:left="660" w:firstLine="644"/>
        <w:spacing w:after="0" w:line="241" w:lineRule="auto"/>
        <w:tabs>
          <w:tab w:leader="none" w:pos="1889" w:val="left"/>
        </w:tabs>
        <w:numPr>
          <w:ilvl w:val="1"/>
          <w:numId w:val="180"/>
        </w:numPr>
        <w:rPr>
          <w:rFonts w:ascii="Arial" w:cs="Arial" w:eastAsia="Arial" w:hAnsi="Arial"/>
          <w:sz w:val="20"/>
          <w:szCs w:val="20"/>
          <w:color w:val="auto"/>
        </w:rPr>
      </w:pPr>
      <w:r>
        <w:rPr>
          <w:rFonts w:ascii="Arial" w:cs="Arial" w:eastAsia="Arial" w:hAnsi="Arial"/>
          <w:sz w:val="20"/>
          <w:szCs w:val="20"/>
          <w:color w:val="auto"/>
        </w:rPr>
        <w:t>Such Selling Stockholder has, and immediately prior to the Time of Delivery (as defined in Section 4(a) hereof) such Selling Stockholder will have, good and valid title to, or a valid “security entitlement” within the meaning of Section 8-501 of the New York Uniform Commercial Code in respect of, the Shares to be sold by such Selling Stockholder hereunder, free and clear of all liens, encumbrances, equities or claims; and, upon delivery of such Shares and payment therefor pursuant hereto, good and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32" w:right="339" w:bottom="1440" w:gutter="0" w:footer="0" w:header="0"/>
        </w:sectPr>
      </w:pPr>
    </w:p>
    <w:bookmarkStart w:id="260" w:name="page261"/>
    <w:bookmarkEnd w:id="260"/>
    <w:p>
      <w:pPr>
        <w:spacing w:after="0"/>
        <w:rPr>
          <w:sz w:val="20"/>
          <w:szCs w:val="20"/>
          <w:color w:val="auto"/>
        </w:rPr>
      </w:pPr>
      <w:r>
        <w:rPr>
          <w:rFonts w:ascii="Arial" w:cs="Arial" w:eastAsia="Arial" w:hAnsi="Arial"/>
          <w:sz w:val="20"/>
          <w:szCs w:val="20"/>
          <w:color w:val="auto"/>
        </w:rPr>
        <w:t>title to such Shares, free and clear of all liens, encumbrances, equities or claims, will pass to the several Underwriters;</w:t>
      </w:r>
    </w:p>
    <w:p>
      <w:pPr>
        <w:spacing w:after="0" w:line="162" w:lineRule="exact"/>
        <w:rPr>
          <w:sz w:val="20"/>
          <w:szCs w:val="20"/>
          <w:color w:val="auto"/>
        </w:rPr>
      </w:pPr>
    </w:p>
    <w:p>
      <w:pPr>
        <w:ind w:firstLine="644"/>
        <w:spacing w:after="0" w:line="246" w:lineRule="auto"/>
        <w:tabs>
          <w:tab w:leader="none" w:pos="119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On or prior to the date of the Pricing Prospectus, such Selling Stockholder has executed and delivered to the Underwriters an agreement substantially in the form of Annex I hereto;</w:t>
      </w:r>
    </w:p>
    <w:p>
      <w:pPr>
        <w:spacing w:after="0" w:line="149" w:lineRule="exact"/>
        <w:rPr>
          <w:rFonts w:ascii="Arial" w:cs="Arial" w:eastAsia="Arial" w:hAnsi="Arial"/>
          <w:sz w:val="20"/>
          <w:szCs w:val="20"/>
          <w:color w:val="auto"/>
        </w:rPr>
      </w:pPr>
    </w:p>
    <w:p>
      <w:pPr>
        <w:jc w:val="both"/>
        <w:ind w:firstLine="644"/>
        <w:spacing w:after="0" w:line="243" w:lineRule="auto"/>
        <w:tabs>
          <w:tab w:leader="none" w:pos="111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w:t>
      </w:r>
    </w:p>
    <w:p>
      <w:pPr>
        <w:spacing w:after="0" w:line="151" w:lineRule="exact"/>
        <w:rPr>
          <w:rFonts w:ascii="Arial" w:cs="Arial" w:eastAsia="Arial" w:hAnsi="Arial"/>
          <w:sz w:val="20"/>
          <w:szCs w:val="20"/>
          <w:color w:val="auto"/>
        </w:rPr>
      </w:pPr>
    </w:p>
    <w:p>
      <w:pPr>
        <w:jc w:val="both"/>
        <w:ind w:firstLine="644"/>
        <w:spacing w:after="0" w:line="254" w:lineRule="auto"/>
        <w:tabs>
          <w:tab w:leader="none" w:pos="139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Registration Statement and Preliminary Prospectus did, and the Prospectus and any further amendments or supplements to the Registration Statement and the Prospectus will, when they become effective or are filed with the Commission, as the case may be, not contain any untrue statement of a material fact or omit to state any material fact required to be stated therein or necessary to make the statements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that such representations and warranties set forth in this subsection (b)(vi) apply only to statements or omissions made in reliance upon and in conformity with information relating to such Selling Stockholder furnished in writing by or on behalf of such Selling Stockholder expressly for use in the Registration Statement and Preliminary Prospectus or any amendment or supplement thereto (the “Selling Stockholder Information”); it being understood that the Selling Stockholder Information shall be limited to the legal name and address of, and the number of shares beneficially owned and offered by, such Selling Stockholder, and the other information with respect to such Selling Stockholder that appears under the caption “Principal and Selling Stockholders” in the Registration Statement or the Preliminary Prospectus;</w:t>
      </w:r>
    </w:p>
    <w:p>
      <w:pPr>
        <w:spacing w:after="0" w:line="142" w:lineRule="exact"/>
        <w:rPr>
          <w:rFonts w:ascii="Arial" w:cs="Arial" w:eastAsia="Arial" w:hAnsi="Arial"/>
          <w:sz w:val="19"/>
          <w:szCs w:val="19"/>
          <w:color w:val="auto"/>
        </w:rPr>
      </w:pPr>
    </w:p>
    <w:p>
      <w:pPr>
        <w:jc w:val="both"/>
        <w:ind w:firstLine="644"/>
        <w:spacing w:after="0" w:line="241" w:lineRule="auto"/>
        <w:tabs>
          <w:tab w:leader="none" w:pos="120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Time of Delivery (as defined in Section 4(a) hereof) a properly completed and executed United States Treasury Department Form W-9 (or other applicable form or statement specified by Treasury Department regulations in lieu thereof);</w:t>
      </w:r>
    </w:p>
    <w:p>
      <w:pPr>
        <w:spacing w:after="0" w:line="154" w:lineRule="exact"/>
        <w:rPr>
          <w:rFonts w:ascii="Arial" w:cs="Arial" w:eastAsia="Arial" w:hAnsi="Arial"/>
          <w:sz w:val="20"/>
          <w:szCs w:val="20"/>
          <w:color w:val="auto"/>
        </w:rPr>
      </w:pPr>
    </w:p>
    <w:p>
      <w:pPr>
        <w:jc w:val="both"/>
        <w:ind w:firstLine="644"/>
        <w:spacing w:after="0"/>
        <w:tabs>
          <w:tab w:leader="none" w:pos="131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Certificates in negotiable form or book-entry securities entitlements representing all of the Shares to be sold by such Selling Stockholder hereunder have been placed in custody under a Custody Agreement, in the form heretofore furnished to you (the "Custody Agreement"), duly executed and delivered by such Selling Stockholder to American Stock Transfer &amp; Trust Company, LLC, as custodian (the "Custodian"), and such Selling Stockholder has duly executed and delivered a Power of Attorney, in the form heretofore furnished to you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980" w:top="1432" w:right="339" w:bottom="1440" w:gutter="0" w:footer="0" w:header="0"/>
        </w:sectPr>
      </w:pPr>
    </w:p>
    <w:bookmarkStart w:id="261" w:name="page262"/>
    <w:bookmarkEnd w:id="261"/>
    <w:p>
      <w:pPr>
        <w:jc w:val="both"/>
        <w:ind w:left="660" w:firstLine="644"/>
        <w:spacing w:after="0" w:line="239" w:lineRule="auto"/>
        <w:tabs>
          <w:tab w:leader="none" w:pos="1853" w:val="left"/>
        </w:tabs>
        <w:numPr>
          <w:ilvl w:val="1"/>
          <w:numId w:val="182"/>
        </w:numPr>
        <w:rPr>
          <w:rFonts w:ascii="Arial" w:cs="Arial" w:eastAsia="Arial" w:hAnsi="Arial"/>
          <w:sz w:val="20"/>
          <w:szCs w:val="20"/>
          <w:color w:val="auto"/>
        </w:rPr>
      </w:pPr>
      <w:r>
        <w:rPr>
          <w:rFonts w:ascii="Arial" w:cs="Arial" w:eastAsia="Arial" w:hAnsi="Arial"/>
          <w:sz w:val="20"/>
          <w:szCs w:val="20"/>
          <w:color w:val="auto"/>
        </w:rPr>
        <w:t>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to be sold by such Selling Stockholder hereunder, certificates representing the Shares to be sold by such Selling Stockholder hereunder shall be delivered by or on behalf of 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 and</w:t>
      </w:r>
    </w:p>
    <w:p>
      <w:pPr>
        <w:spacing w:after="0" w:line="169" w:lineRule="exact"/>
        <w:rPr>
          <w:rFonts w:ascii="Arial" w:cs="Arial" w:eastAsia="Arial" w:hAnsi="Arial"/>
          <w:sz w:val="20"/>
          <w:szCs w:val="20"/>
          <w:color w:val="auto"/>
        </w:rPr>
      </w:pPr>
    </w:p>
    <w:p>
      <w:pPr>
        <w:jc w:val="both"/>
        <w:ind w:left="660" w:firstLine="644"/>
        <w:spacing w:after="0"/>
        <w:tabs>
          <w:tab w:leader="none" w:pos="1837"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Such Selling Stockholder will not use the proceeds of the offering of the Shares hereunder, or knowingly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in any other manner that will result in a violation by such Selling Stockholder of Sanctions, or (ii) in furtherance of an offer, payment, promise to pay, or authorization of the payment or giving of money, or anything else of value, to any person in violation of any Money Laundering Laws or any Anti-Corruption Laws; and</w:t>
      </w:r>
    </w:p>
    <w:p>
      <w:pPr>
        <w:spacing w:after="0" w:line="158" w:lineRule="exact"/>
        <w:rPr>
          <w:rFonts w:ascii="Arial" w:cs="Arial" w:eastAsia="Arial" w:hAnsi="Arial"/>
          <w:sz w:val="20"/>
          <w:szCs w:val="20"/>
          <w:color w:val="auto"/>
        </w:rPr>
      </w:pPr>
    </w:p>
    <w:p>
      <w:pPr>
        <w:ind w:left="660" w:firstLine="644"/>
        <w:spacing w:after="0" w:line="246" w:lineRule="auto"/>
        <w:tabs>
          <w:tab w:leader="none" w:pos="1973"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Such Selling Stockholder is not prompted by any information concerning the Company or any of its subsidiaries that is not disclosed in the Pricing Prospectus to sell its Shares pursuant to this Agreement.</w:t>
      </w:r>
    </w:p>
    <w:p>
      <w:pPr>
        <w:spacing w:after="0" w:line="149" w:lineRule="exact"/>
        <w:rPr>
          <w:rFonts w:ascii="Arial" w:cs="Arial" w:eastAsia="Arial" w:hAnsi="Arial"/>
          <w:sz w:val="20"/>
          <w:szCs w:val="20"/>
          <w:color w:val="auto"/>
        </w:rPr>
      </w:pPr>
    </w:p>
    <w:p>
      <w:pPr>
        <w:jc w:val="both"/>
        <w:ind w:firstLine="656"/>
        <w:spacing w:after="0"/>
        <w:tabs>
          <w:tab w:leader="none" w:pos="107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Subject to the terms and conditions herein set forth, (a) each of the Selling Stockholders agrees, severally and not jointly, to sell to each of the Underwriters, and each of the Underwriters agrees, severally and not jointly, to purchase from each of the Selling Stockholders, at a purchase price per share of $[•], the number of Firm Shares (to be adjusted by you so as to eliminate fractional shares) determined by multiplying the aggregate number of Firm Shares to be sold by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all of the Selling Stockholders hereunder (b) in the event and to the extent that the Underwriters shall exercise the election to purchase Optional Shares as provided below, each of the Selling Stockholders agrees, severally and not jointly, to sell to each of the Underwriters, and each of the Underwriters agrees, severally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32" w:right="339" w:bottom="1440" w:gutter="0" w:footer="0" w:header="0"/>
        </w:sectPr>
      </w:pPr>
    </w:p>
    <w:bookmarkStart w:id="262" w:name="page263"/>
    <w:bookmarkEnd w:id="262"/>
    <w:p>
      <w:pPr>
        <w:jc w:val="both"/>
        <w:spacing w:after="0"/>
        <w:rPr>
          <w:sz w:val="20"/>
          <w:szCs w:val="20"/>
          <w:color w:val="auto"/>
        </w:rPr>
      </w:pPr>
      <w:r>
        <w:rPr>
          <w:rFonts w:ascii="Arial" w:cs="Arial" w:eastAsia="Arial" w:hAnsi="Arial"/>
          <w:sz w:val="20"/>
          <w:szCs w:val="20"/>
          <w:color w:val="auto"/>
        </w:rPr>
        <w:t>not jointly, to purchase from the Selling Stockholders,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5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Selling Stockholders hereby grant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and the Attorneys in Fact,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the Company and the Attorneys in Fact otherwise agree in writing, earlier than two or later than ten business days after the date of such notice.</w:t>
      </w:r>
    </w:p>
    <w:p>
      <w:pPr>
        <w:spacing w:after="0" w:line="158" w:lineRule="exact"/>
        <w:rPr>
          <w:sz w:val="20"/>
          <w:szCs w:val="20"/>
          <w:color w:val="auto"/>
        </w:rPr>
      </w:pPr>
    </w:p>
    <w:p>
      <w:pPr>
        <w:ind w:firstLine="656"/>
        <w:spacing w:after="0" w:line="246" w:lineRule="auto"/>
        <w:tabs>
          <w:tab w:leader="none" w:pos="1049" w:val="left"/>
        </w:tabs>
        <w:numPr>
          <w:ilvl w:val="0"/>
          <w:numId w:val="184"/>
        </w:numPr>
        <w:rPr>
          <w:rFonts w:ascii="Arial" w:cs="Arial" w:eastAsia="Arial" w:hAnsi="Arial"/>
          <w:sz w:val="20"/>
          <w:szCs w:val="20"/>
          <w:color w:val="auto"/>
        </w:rPr>
      </w:pPr>
      <w:r>
        <w:rPr>
          <w:rFonts w:ascii="Arial" w:cs="Arial" w:eastAsia="Arial" w:hAnsi="Arial"/>
          <w:sz w:val="20"/>
          <w:szCs w:val="20"/>
          <w:color w:val="auto"/>
        </w:rPr>
        <w:t>Upon the authorization by you of the release of the Shares, the several Underwriters propose to offer the Shares for sale upon the terms and conditions set forth in the Pricing Disclosure Package and the Prospectus.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w:t>
      </w:r>
    </w:p>
    <w:p>
      <w:pPr>
        <w:spacing w:after="0" w:line="162" w:lineRule="exact"/>
        <w:rPr>
          <w:sz w:val="20"/>
          <w:szCs w:val="20"/>
          <w:color w:val="auto"/>
        </w:rPr>
      </w:pPr>
    </w:p>
    <w:p>
      <w:pPr>
        <w:jc w:val="both"/>
        <w:ind w:firstLine="656"/>
        <w:spacing w:after="0"/>
        <w:tabs>
          <w:tab w:leader="none" w:pos="129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Shares to be purchased by each Underwriter hereunder, in definitive or book-entry form, and in such authorized denominations and registered in such names as the Representatives may request upon at least forty-eight hours’ prior notice to the Company and the Selling Stockholders shall be delivered by or on behalf of the Company and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accounts specified by the Company to the Representatives at least forty-eight hours in advance. The Company and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2021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32" w:right="339" w:bottom="1440" w:gutter="0" w:footer="0" w:header="0"/>
        </w:sectPr>
      </w:pPr>
    </w:p>
    <w:bookmarkStart w:id="263" w:name="page264"/>
    <w:bookmarkEnd w:id="263"/>
    <w:p>
      <w:pPr>
        <w:spacing w:after="0" w:line="246" w:lineRule="auto"/>
        <w:rPr>
          <w:sz w:val="20"/>
          <w:szCs w:val="20"/>
          <w:color w:val="auto"/>
        </w:rPr>
      </w:pPr>
      <w:r>
        <w:rPr>
          <w:rFonts w:ascii="Arial" w:cs="Arial" w:eastAsia="Arial" w:hAnsi="Arial"/>
          <w:sz w:val="20"/>
          <w:szCs w:val="20"/>
          <w:color w:val="auto"/>
        </w:rPr>
        <w:t>Time of Delivery, is herein called the “Second Time of Delivery”, and each such time and date for delivery is herein called a “Time of Delivery”.</w:t>
      </w:r>
    </w:p>
    <w:p>
      <w:pPr>
        <w:spacing w:after="0" w:line="150" w:lineRule="exact"/>
        <w:rPr>
          <w:sz w:val="20"/>
          <w:szCs w:val="20"/>
          <w:color w:val="auto"/>
        </w:rPr>
      </w:pPr>
    </w:p>
    <w:p>
      <w:pPr>
        <w:jc w:val="both"/>
        <w:ind w:firstLine="656"/>
        <w:spacing w:after="0"/>
        <w:tabs>
          <w:tab w:leader="none" w:pos="112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documents to be delivered at each Time of Delivery by or on behalf of the parties hereto pursuant to Section 8 hereof, including the cross receipt for the Shares and any additional documents requested by the Underwriters pursuant to Section 8(m) hereof, will be delivered at the offices of Goodwin Procter LLP, 620 Eighth Avenue, New York, New York, 10018 (the “Closing Location”), and the Shares will be delivered at the Designated Office,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58" w:lineRule="exact"/>
        <w:rPr>
          <w:sz w:val="20"/>
          <w:szCs w:val="20"/>
          <w:color w:val="auto"/>
        </w:rPr>
      </w:pPr>
    </w:p>
    <w:p>
      <w:pPr>
        <w:ind w:left="1040" w:hanging="384"/>
        <w:spacing w:after="0"/>
        <w:tabs>
          <w:tab w:leader="none" w:pos="10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Company agrees with each of the Underwriters:</w:t>
      </w:r>
    </w:p>
    <w:p>
      <w:pPr>
        <w:spacing w:after="0" w:line="162" w:lineRule="exact"/>
        <w:rPr>
          <w:sz w:val="20"/>
          <w:szCs w:val="20"/>
          <w:color w:val="auto"/>
        </w:rPr>
      </w:pPr>
    </w:p>
    <w:p>
      <w:pPr>
        <w:jc w:val="both"/>
        <w:ind w:firstLine="656"/>
        <w:spacing w:after="0"/>
        <w:tabs>
          <w:tab w:leader="none" w:pos="110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55" w:lineRule="exact"/>
        <w:rPr>
          <w:rFonts w:ascii="Arial" w:cs="Arial" w:eastAsia="Arial" w:hAnsi="Arial"/>
          <w:sz w:val="20"/>
          <w:szCs w:val="20"/>
          <w:color w:val="auto"/>
        </w:rPr>
      </w:pPr>
    </w:p>
    <w:p>
      <w:pPr>
        <w:jc w:val="both"/>
        <w:ind w:firstLine="656"/>
        <w:spacing w:after="0" w:line="257" w:lineRule="auto"/>
        <w:tabs>
          <w:tab w:leader="none" w:pos="1119"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39" w:lineRule="exact"/>
        <w:rPr>
          <w:rFonts w:ascii="Arial" w:cs="Arial" w:eastAsia="Arial" w:hAnsi="Arial"/>
          <w:sz w:val="19"/>
          <w:szCs w:val="19"/>
          <w:color w:val="auto"/>
        </w:rPr>
      </w:pPr>
    </w:p>
    <w:p>
      <w:pPr>
        <w:jc w:val="both"/>
        <w:ind w:right="20" w:firstLine="656"/>
        <w:spacing w:after="0" w:line="262" w:lineRule="auto"/>
        <w:tabs>
          <w:tab w:leader="none" w:pos="110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Prior to 10:00 a.m., New York City time, on the New York Business Day next succeeding the date of this Agreement (or such other time as may be agreed to by the Company and the Representatives) and from time to time, to furnish the Underwriters with written and electronic copies of the Prospectus in New York City in such quantities as you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32" w:right="339" w:bottom="1440" w:gutter="0" w:footer="0" w:header="0"/>
        </w:sectPr>
      </w:pPr>
    </w:p>
    <w:bookmarkStart w:id="264" w:name="page265"/>
    <w:bookmarkEnd w:id="264"/>
    <w:p>
      <w:pPr>
        <w:jc w:val="both"/>
        <w:spacing w:after="0"/>
        <w:rPr>
          <w:sz w:val="20"/>
          <w:szCs w:val="20"/>
          <w:color w:val="auto"/>
        </w:rPr>
      </w:pPr>
      <w:r>
        <w:rPr>
          <w:rFonts w:ascii="Arial" w:cs="Arial" w:eastAsia="Arial" w:hAnsi="Arial"/>
          <w:sz w:val="20"/>
          <w:szCs w:val="20"/>
          <w:color w:val="auto"/>
        </w:rPr>
        <w:t>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(whose name and address the Underwriters shall furnish to the Company in connection with such request)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55" w:lineRule="exact"/>
        <w:rPr>
          <w:sz w:val="20"/>
          <w:szCs w:val="20"/>
          <w:color w:val="auto"/>
        </w:rPr>
      </w:pPr>
    </w:p>
    <w:p>
      <w:pPr>
        <w:jc w:val="both"/>
        <w:ind w:firstLine="656"/>
        <w:spacing w:after="0" w:line="241" w:lineRule="auto"/>
        <w:tabs>
          <w:tab w:leader="none" w:pos="114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To make generally available to its securityholders as soon as practicable (which may be satisfied by filing with the Commission’s Electronic Data Gathering Analysis and Retrieval System or any successor thereto),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4" w:lineRule="exact"/>
        <w:rPr>
          <w:rFonts w:ascii="Arial" w:cs="Arial" w:eastAsia="Arial" w:hAnsi="Arial"/>
          <w:sz w:val="20"/>
          <w:szCs w:val="20"/>
          <w:color w:val="auto"/>
        </w:rPr>
      </w:pPr>
    </w:p>
    <w:p>
      <w:pPr>
        <w:jc w:val="both"/>
        <w:ind w:firstLine="656"/>
        <w:spacing w:after="0"/>
        <w:tabs>
          <w:tab w:leader="none" w:pos="112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During the period beginning from the date hereof and continuing to and including the date 90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(including, for the avoidance of doubt, any registration statement for the resale of any securities of the Company by a selling stockholder)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your prior written consent; </w:t>
      </w:r>
      <w:r>
        <w:rPr>
          <w:rFonts w:ascii="Arial" w:cs="Arial" w:eastAsia="Arial" w:hAnsi="Arial"/>
          <w:sz w:val="20"/>
          <w:szCs w:val="20"/>
          <w:i w:val="1"/>
          <w:iCs w:val="1"/>
          <w:color w:val="auto"/>
        </w:rPr>
        <w:t>provided that</w:t>
      </w:r>
      <w:r>
        <w:rPr>
          <w:rFonts w:ascii="Arial" w:cs="Arial" w:eastAsia="Arial" w:hAnsi="Arial"/>
          <w:sz w:val="20"/>
          <w:szCs w:val="20"/>
          <w:color w:val="auto"/>
        </w:rPr>
        <w:t>, the restrictions contained in this paragraph shall not apply to (a) the Shares to be sold hereunder, (b) the issuance by the Company of shares of Stock or any security convertible or exercisable or exchangeable into shares of Common Stock upon the exercise of an option or warrant or the conversion and/or exchange of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32" w:right="339" w:bottom="1440" w:gutter="0" w:footer="0" w:header="0"/>
        </w:sectPr>
      </w:pPr>
    </w:p>
    <w:bookmarkStart w:id="265" w:name="page266"/>
    <w:bookmarkEnd w:id="265"/>
    <w:p>
      <w:pPr>
        <w:jc w:val="both"/>
        <w:spacing w:after="0" w:line="253" w:lineRule="auto"/>
        <w:rPr>
          <w:sz w:val="20"/>
          <w:szCs w:val="20"/>
          <w:color w:val="auto"/>
        </w:rPr>
      </w:pPr>
      <w:r>
        <w:rPr>
          <w:rFonts w:ascii="Arial" w:cs="Arial" w:eastAsia="Arial" w:hAnsi="Arial"/>
          <w:sz w:val="19"/>
          <w:szCs w:val="19"/>
          <w:color w:val="auto"/>
        </w:rPr>
        <w:t xml:space="preserve">outstanding on the date hereof and described in the Registration Statement and the Prospectus, (c) grants of options, restricted shares or restricted share units to officers, directors, employees and consultants of the Company in accordance with the terms of an incentive compensation plan described in the Registration Statement and the Prospectus, or the issuance by the Company of shares of Common Stock upon the exercise thereof or the filing by the Company of a registration statement with the Commission on Form S-8 in connection therewith, (d) the entrance into an agreement providing for the issuance by the Company of shares of Common Stock or any security convertible into or exercisable for shares of Common Stock in connection with the acquisition by the Company of the securities, business, or other assets of another person or entity or pursuant to an employee benefit plan assumed by the Company in connection with such acquisition, and the issuance of any such securities pursuant to any such agreement; (e) the entry into an agreement providing for the issuance of shares of Stock or any security convertible into or exercisable for shares of Common Stock in connection with joint ventures, commercial relationships or other strategic transactions, and the issuance of any such securities pursuant to any such agreement, </w:t>
      </w:r>
      <w:r>
        <w:rPr>
          <w:rFonts w:ascii="Arial" w:cs="Arial" w:eastAsia="Arial" w:hAnsi="Arial"/>
          <w:sz w:val="19"/>
          <w:szCs w:val="19"/>
          <w:i w:val="1"/>
          <w:iCs w:val="1"/>
          <w:color w:val="auto"/>
        </w:rPr>
        <w:t>provided</w:t>
      </w:r>
      <w:r>
        <w:rPr>
          <w:rFonts w:ascii="Arial" w:cs="Arial" w:eastAsia="Arial" w:hAnsi="Arial"/>
          <w:sz w:val="19"/>
          <w:szCs w:val="19"/>
          <w:color w:val="auto"/>
        </w:rPr>
        <w:t>, that the aggregate number of shares of Common Stock or securities convertible into or exercisable for Stock (on an as-converted or as exercised basis, as the case may be) that the Company may sell or issue or agree to sell or issue pursuant to clauses (d) and (e) above shall not exceed 10% of the total number of shares of the Company’s Stock issued and outstanding immediately following the completion of the transactions contemplated by this Agreement (determined on a fully diluted basis and as adjusted for stock splits, stock dividends and other similar events after the date hereof); (f) the establishment of a trading plan pursuant to Rule 10b5-1 under the Exchange Act for the transfer of shares of Stock, provided that (i) such plan does not provide for the transfer of Stock during the Lock-up Period and (ii) to the extent a public announcement or filing under the Exchange Act, if any, is required of or voluntarily made by the Company during the Lock-up Period regarding the establishment of such plan, such announcement or filing shall include a statement to the effect that no transfer of Stock may be made under such plan during the Lock-up Period; and that, with respect to any transaction described this Section 5(e) occurring during the Lock-Up Period, any transferee or other recipient of Stock or other Company securities agrees to be bound in writing, until the end of the Lock-Up Period, by the restrictions set forth in a lock-up letter in the form described in Section 8(k) hereof; and</w:t>
      </w:r>
    </w:p>
    <w:p>
      <w:pPr>
        <w:spacing w:after="0" w:line="373" w:lineRule="exact"/>
        <w:rPr>
          <w:sz w:val="20"/>
          <w:szCs w:val="20"/>
          <w:color w:val="auto"/>
        </w:rPr>
      </w:pPr>
    </w:p>
    <w:p>
      <w:pPr>
        <w:jc w:val="both"/>
        <w:ind w:firstLine="656"/>
        <w:spacing w:after="0" w:line="252" w:lineRule="auto"/>
        <w:tabs>
          <w:tab w:leader="none" w:pos="1071" w:val="left"/>
        </w:tabs>
        <w:numPr>
          <w:ilvl w:val="0"/>
          <w:numId w:val="190"/>
        </w:numPr>
        <w:rPr>
          <w:rFonts w:ascii="Arial" w:cs="Arial" w:eastAsia="Arial" w:hAnsi="Arial"/>
          <w:sz w:val="19"/>
          <w:szCs w:val="19"/>
          <w:color w:val="auto"/>
        </w:rPr>
      </w:pPr>
      <w:r>
        <w:rPr>
          <w:rFonts w:ascii="Arial" w:cs="Arial" w:eastAsia="Arial" w:hAnsi="Arial"/>
          <w:sz w:val="19"/>
          <w:szCs w:val="19"/>
          <w:color w:val="auto"/>
        </w:rPr>
        <w:t>During a period of three years from the effective date of the Registration Statement,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that they are available on</w:t>
      </w:r>
    </w:p>
    <w:p>
      <w:pPr>
        <w:spacing w:after="0"/>
        <w:rPr>
          <w:rFonts w:ascii="Arial" w:cs="Arial" w:eastAsia="Arial" w:hAnsi="Arial"/>
          <w:sz w:val="19"/>
          <w:szCs w:val="19"/>
          <w:color w:val="auto"/>
        </w:rPr>
      </w:pPr>
      <w:r>
        <w:rPr>
          <w:rFonts w:ascii="Arial" w:cs="Arial" w:eastAsia="Arial" w:hAnsi="Arial"/>
          <w:sz w:val="20"/>
          <w:szCs w:val="20"/>
          <w:color w:val="auto"/>
        </w:rPr>
        <w:t>EDGAR;</w:t>
      </w:r>
    </w:p>
    <w:p>
      <w:pPr>
        <w:spacing w:after="0" w:line="161" w:lineRule="exact"/>
        <w:rPr>
          <w:rFonts w:ascii="Arial" w:cs="Arial" w:eastAsia="Arial" w:hAnsi="Arial"/>
          <w:sz w:val="19"/>
          <w:szCs w:val="19"/>
          <w:color w:val="auto"/>
        </w:rPr>
      </w:pPr>
    </w:p>
    <w:p>
      <w:pPr>
        <w:jc w:val="both"/>
        <w:ind w:firstLine="656"/>
        <w:spacing w:after="0" w:line="241" w:lineRule="auto"/>
        <w:tabs>
          <w:tab w:leader="none" w:pos="115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32" w:right="339" w:bottom="1440" w:gutter="0" w:footer="0" w:header="0"/>
        </w:sectPr>
      </w:pPr>
    </w:p>
    <w:bookmarkStart w:id="266" w:name="page267"/>
    <w:bookmarkEnd w:id="266"/>
    <w:p>
      <w:pPr>
        <w:jc w:val="both"/>
        <w:spacing w:after="0" w:line="241" w:lineRule="auto"/>
        <w:rPr>
          <w:sz w:val="20"/>
          <w:szCs w:val="20"/>
          <w:color w:val="auto"/>
        </w:rPr>
      </w:pPr>
      <w:r>
        <w:rPr>
          <w:rFonts w:ascii="Arial" w:cs="Arial" w:eastAsia="Arial" w:hAnsi="Arial"/>
          <w:sz w:val="20"/>
          <w:szCs w:val="20"/>
          <w:color w:val="auto"/>
        </w:rPr>
        <w:t>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EDGAR;</w:t>
      </w:r>
    </w:p>
    <w:p>
      <w:pPr>
        <w:spacing w:after="0" w:line="156" w:lineRule="exact"/>
        <w:rPr>
          <w:sz w:val="20"/>
          <w:szCs w:val="20"/>
          <w:color w:val="auto"/>
        </w:rPr>
      </w:pPr>
    </w:p>
    <w:p>
      <w:pPr>
        <w:ind w:left="1160" w:hanging="504"/>
        <w:spacing w:after="0"/>
        <w:tabs>
          <w:tab w:leader="none" w:pos="116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To file with the Commission such information on Form 10-Q or Form 10-K as may be required by Rule 463 under</w:t>
      </w:r>
    </w:p>
    <w:p>
      <w:pPr>
        <w:spacing w:after="0"/>
        <w:rPr>
          <w:rFonts w:ascii="Arial" w:cs="Arial" w:eastAsia="Arial" w:hAnsi="Arial"/>
          <w:sz w:val="20"/>
          <w:szCs w:val="20"/>
          <w:color w:val="auto"/>
        </w:rPr>
      </w:pPr>
      <w:r>
        <w:rPr>
          <w:rFonts w:ascii="Arial" w:cs="Arial" w:eastAsia="Arial" w:hAnsi="Arial"/>
          <w:sz w:val="20"/>
          <w:szCs w:val="20"/>
          <w:color w:val="auto"/>
        </w:rPr>
        <w:t>the Act;</w:t>
      </w:r>
    </w:p>
    <w:p>
      <w:pPr>
        <w:spacing w:after="0" w:line="161" w:lineRule="exact"/>
        <w:rPr>
          <w:rFonts w:ascii="Arial" w:cs="Arial" w:eastAsia="Arial" w:hAnsi="Arial"/>
          <w:sz w:val="20"/>
          <w:szCs w:val="20"/>
          <w:color w:val="auto"/>
        </w:rPr>
      </w:pPr>
    </w:p>
    <w:p>
      <w:pPr>
        <w:jc w:val="both"/>
        <w:ind w:firstLine="656"/>
        <w:spacing w:after="0" w:line="241" w:lineRule="auto"/>
        <w:tabs>
          <w:tab w:leader="none" w:pos="110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56" w:lineRule="exact"/>
        <w:rPr>
          <w:rFonts w:ascii="Arial" w:cs="Arial" w:eastAsia="Arial" w:hAnsi="Arial"/>
          <w:sz w:val="20"/>
          <w:szCs w:val="20"/>
          <w:color w:val="auto"/>
        </w:rPr>
      </w:pPr>
    </w:p>
    <w:p>
      <w:pPr>
        <w:jc w:val="both"/>
        <w:ind w:firstLine="656"/>
        <w:spacing w:after="0" w:line="241" w:lineRule="auto"/>
        <w:tabs>
          <w:tab w:leader="none" w:pos="1069" w:val="left"/>
        </w:tabs>
        <w:numPr>
          <w:ilvl w:val="1"/>
          <w:numId w:val="191"/>
        </w:numPr>
        <w:rPr>
          <w:rFonts w:ascii="Arial" w:cs="Arial" w:eastAsia="Arial" w:hAnsi="Arial"/>
          <w:sz w:val="20"/>
          <w:szCs w:val="20"/>
          <w:color w:val="auto"/>
        </w:rPr>
      </w:pPr>
      <w:r>
        <w:rPr>
          <w:rFonts w:ascii="Arial" w:cs="Arial" w:eastAsia="Arial" w:hAnsi="Arial"/>
          <w:sz w:val="20"/>
          <w:szCs w:val="20"/>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55" w:lineRule="exact"/>
        <w:rPr>
          <w:rFonts w:ascii="Arial" w:cs="Arial" w:eastAsia="Arial" w:hAnsi="Arial"/>
          <w:sz w:val="20"/>
          <w:szCs w:val="20"/>
          <w:color w:val="auto"/>
        </w:rPr>
      </w:pPr>
    </w:p>
    <w:p>
      <w:pPr>
        <w:ind w:left="1140" w:hanging="484"/>
        <w:spacing w:after="0"/>
        <w:tabs>
          <w:tab w:leader="none" w:pos="114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To promptly notify you if the Company ceases to be an Emerging Growth Company at any time prior to the later of</w:t>
      </w:r>
    </w:p>
    <w:p>
      <w:pPr>
        <w:ind w:left="240" w:hanging="232"/>
        <w:spacing w:after="0"/>
        <w:tabs>
          <w:tab w:leader="none" w:pos="2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completion of the distribution of the Shares within the meaning of the Act and (ii) the last Time of Delivery.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w:t>
      </w:r>
    </w:p>
    <w:p>
      <w:pPr>
        <w:spacing w:after="0" w:line="162" w:lineRule="exact"/>
        <w:rPr>
          <w:sz w:val="20"/>
          <w:szCs w:val="20"/>
          <w:color w:val="auto"/>
        </w:rPr>
      </w:pPr>
    </w:p>
    <w:p>
      <w:pPr>
        <w:jc w:val="both"/>
        <w:ind w:firstLine="656"/>
        <w:spacing w:after="0"/>
        <w:tabs>
          <w:tab w:leader="none" w:pos="116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158" w:lineRule="exact"/>
        <w:rPr>
          <w:rFonts w:ascii="Arial" w:cs="Arial" w:eastAsia="Arial" w:hAnsi="Arial"/>
          <w:sz w:val="20"/>
          <w:szCs w:val="20"/>
          <w:color w:val="auto"/>
        </w:rPr>
      </w:pPr>
    </w:p>
    <w:p>
      <w:pPr>
        <w:jc w:val="both"/>
        <w:ind w:firstLine="656"/>
        <w:spacing w:after="0" w:line="241" w:lineRule="auto"/>
        <w:tabs>
          <w:tab w:leader="none" w:pos="119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56" w:lineRule="exact"/>
        <w:rPr>
          <w:rFonts w:ascii="Arial" w:cs="Arial" w:eastAsia="Arial" w:hAnsi="Arial"/>
          <w:sz w:val="20"/>
          <w:szCs w:val="20"/>
          <w:color w:val="auto"/>
        </w:rPr>
      </w:pPr>
    </w:p>
    <w:p>
      <w:pPr>
        <w:jc w:val="both"/>
        <w:ind w:firstLine="656"/>
        <w:spacing w:after="0" w:line="241" w:lineRule="auto"/>
        <w:tabs>
          <w:tab w:leader="none" w:pos="111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32" w:right="339" w:bottom="1440" w:gutter="0" w:footer="0" w:header="0"/>
        </w:sectPr>
      </w:pPr>
    </w:p>
    <w:bookmarkStart w:id="267" w:name="page268"/>
    <w:bookmarkEnd w:id="267"/>
    <w:p>
      <w:pPr>
        <w:jc w:val="both"/>
        <w:spacing w:after="0" w:line="241" w:lineRule="auto"/>
        <w:rPr>
          <w:sz w:val="20"/>
          <w:szCs w:val="20"/>
          <w:color w:val="auto"/>
        </w:rPr>
      </w:pPr>
      <w:r>
        <w:rPr>
          <w:rFonts w:ascii="Arial" w:cs="Arial" w:eastAsia="Arial" w:hAnsi="Arial"/>
          <w:sz w:val="20"/>
          <w:szCs w:val="20"/>
          <w:color w:val="auto"/>
        </w:rPr>
        <w:t>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156" w:lineRule="exact"/>
        <w:rPr>
          <w:sz w:val="20"/>
          <w:szCs w:val="20"/>
          <w:color w:val="auto"/>
        </w:rPr>
      </w:pPr>
    </w:p>
    <w:p>
      <w:pPr>
        <w:jc w:val="both"/>
        <w:ind w:firstLine="656"/>
        <w:spacing w:after="0"/>
        <w:tabs>
          <w:tab w:leader="none" w:pos="116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w:t>
      </w:r>
    </w:p>
    <w:p>
      <w:pPr>
        <w:spacing w:after="0" w:line="158" w:lineRule="exact"/>
        <w:rPr>
          <w:rFonts w:ascii="Arial" w:cs="Arial" w:eastAsia="Arial" w:hAnsi="Arial"/>
          <w:sz w:val="20"/>
          <w:szCs w:val="20"/>
          <w:color w:val="auto"/>
        </w:rPr>
      </w:pPr>
    </w:p>
    <w:p>
      <w:pPr>
        <w:jc w:val="both"/>
        <w:ind w:firstLine="656"/>
        <w:spacing w:after="0" w:line="243" w:lineRule="auto"/>
        <w:tabs>
          <w:tab w:leader="none" w:pos="1157" w:val="left"/>
        </w:tabs>
        <w:numPr>
          <w:ilvl w:val="0"/>
          <w:numId w:val="194"/>
        </w:numPr>
        <w:rPr>
          <w:rFonts w:ascii="Arial" w:cs="Arial" w:eastAsia="Arial" w:hAnsi="Arial"/>
          <w:sz w:val="20"/>
          <w:szCs w:val="20"/>
          <w:color w:val="auto"/>
        </w:rPr>
      </w:pPr>
      <w:r>
        <w:rPr>
          <w:rFonts w:ascii="Arial" w:cs="Arial" w:eastAsia="Arial" w:hAnsi="Arial"/>
          <w:sz w:val="20"/>
          <w:szCs w:val="20"/>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52" w:lineRule="exact"/>
        <w:rPr>
          <w:sz w:val="20"/>
          <w:szCs w:val="20"/>
          <w:color w:val="auto"/>
        </w:rPr>
      </w:pPr>
    </w:p>
    <w:p>
      <w:pPr>
        <w:jc w:val="both"/>
        <w:ind w:firstLine="656"/>
        <w:spacing w:after="0" w:line="252" w:lineRule="auto"/>
        <w:tabs>
          <w:tab w:leader="none" w:pos="1102" w:val="left"/>
        </w:tabs>
        <w:numPr>
          <w:ilvl w:val="1"/>
          <w:numId w:val="195"/>
        </w:numPr>
        <w:rPr>
          <w:rFonts w:ascii="Arial" w:cs="Arial" w:eastAsia="Arial" w:hAnsi="Arial"/>
          <w:sz w:val="19"/>
          <w:szCs w:val="19"/>
          <w:color w:val="auto"/>
        </w:rPr>
      </w:pPr>
      <w:r>
        <w:rPr>
          <w:rFonts w:ascii="Arial" w:cs="Arial" w:eastAsia="Arial" w:hAnsi="Arial"/>
          <w:sz w:val="19"/>
          <w:szCs w:val="19"/>
          <w:color w:val="auto"/>
        </w:rPr>
        <w:t>The Company covenants and agrees with the several Underwriters and each of the Selling Stockholders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NASDAQ; (v) the filing fees incident to, and the reasonable and documented fees and disbursements of counsel for the Underwriters in connection with, any required review by FINRA of the terms of the sale of the Shares; (vi) the cost of preparing stock certificates;</w:t>
      </w:r>
    </w:p>
    <w:p>
      <w:pPr>
        <w:spacing w:after="0" w:line="1" w:lineRule="exact"/>
        <w:rPr>
          <w:rFonts w:ascii="Arial" w:cs="Arial" w:eastAsia="Arial" w:hAnsi="Arial"/>
          <w:sz w:val="19"/>
          <w:szCs w:val="19"/>
          <w:color w:val="auto"/>
        </w:rPr>
      </w:pPr>
    </w:p>
    <w:p>
      <w:pPr>
        <w:jc w:val="both"/>
        <w:ind w:firstLine="8"/>
        <w:spacing w:after="0"/>
        <w:tabs>
          <w:tab w:leader="none" w:pos="37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cost and charges of any transfer agent or registrar; and (viii) all other costs and expenses incident to the performance of its and such Selling Stockholder’s obligations hereunder which are not otherwise specifically provided for in this Section, including (A) any fees and expenses of counsel for such Selling Stockholder, and (B) all expenses and taxes incident to the sale and delivery of the Shares to be sold by such Selling Stockholder to the Underwriters hereunder. It is understood, however, that, the Company shall bear, and the Selling Stockholders shall not be required to pay or to reimburse the Company for, the cost of any other matters not directly relating to the sale and purchase of the Shares pursuant to this Agreement, and that except as provided in this Section, and Sections 9 and 11 hereof, the Underwriters will pay all of their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32" w:right="339" w:bottom="1440" w:gutter="0" w:footer="0" w:header="0"/>
        </w:sectPr>
      </w:pPr>
    </w:p>
    <w:bookmarkStart w:id="268" w:name="page269"/>
    <w:bookmarkEnd w:id="268"/>
    <w:p>
      <w:pPr>
        <w:spacing w:after="0" w:line="246" w:lineRule="auto"/>
        <w:rPr>
          <w:sz w:val="20"/>
          <w:szCs w:val="20"/>
          <w:color w:val="auto"/>
        </w:rPr>
      </w:pPr>
      <w:r>
        <w:rPr>
          <w:rFonts w:ascii="Arial" w:cs="Arial" w:eastAsia="Arial" w:hAnsi="Arial"/>
          <w:sz w:val="20"/>
          <w:szCs w:val="20"/>
          <w:color w:val="auto"/>
        </w:rPr>
        <w:t>costs and expenses, including the fees of their counsel, stock transfer taxes on resale of any of the Shares by them, and any advertising expenses connected with any offers they may make.</w:t>
      </w:r>
    </w:p>
    <w:p>
      <w:pPr>
        <w:spacing w:after="0" w:line="150" w:lineRule="exact"/>
        <w:rPr>
          <w:sz w:val="20"/>
          <w:szCs w:val="20"/>
          <w:color w:val="auto"/>
        </w:rPr>
      </w:pPr>
    </w:p>
    <w:p>
      <w:pPr>
        <w:jc w:val="both"/>
        <w:ind w:firstLine="656"/>
        <w:spacing w:after="0" w:line="241" w:lineRule="auto"/>
        <w:tabs>
          <w:tab w:leader="none" w:pos="108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obligations hereunder theretofore to be performed, and the following additional conditions:</w:t>
      </w:r>
    </w:p>
    <w:p>
      <w:pPr>
        <w:spacing w:after="0" w:line="155" w:lineRule="exact"/>
        <w:rPr>
          <w:sz w:val="20"/>
          <w:szCs w:val="20"/>
          <w:color w:val="auto"/>
        </w:rPr>
      </w:pPr>
    </w:p>
    <w:p>
      <w:pPr>
        <w:jc w:val="both"/>
        <w:ind w:firstLine="656"/>
        <w:spacing w:after="0"/>
        <w:tabs>
          <w:tab w:leader="none" w:pos="124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57" w:lineRule="exact"/>
        <w:rPr>
          <w:rFonts w:ascii="Arial" w:cs="Arial" w:eastAsia="Arial" w:hAnsi="Arial"/>
          <w:sz w:val="20"/>
          <w:szCs w:val="20"/>
          <w:color w:val="auto"/>
        </w:rPr>
      </w:pPr>
    </w:p>
    <w:p>
      <w:pPr>
        <w:jc w:val="both"/>
        <w:ind w:firstLine="656"/>
        <w:spacing w:after="0" w:line="243" w:lineRule="auto"/>
        <w:tabs>
          <w:tab w:leader="none" w:pos="111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Goodwin Procter LLP, counsel for the Underwriters, shall have furnished to you such written opinion or opinions and negative assurance letter, dated such Time of Delivery, in form and substance satisfactory to you, and such counsel shall have received such papers and information as they may reasonably request to enable them to pass upon such matters;</w:t>
      </w:r>
    </w:p>
    <w:p>
      <w:pPr>
        <w:spacing w:after="0" w:line="151" w:lineRule="exact"/>
        <w:rPr>
          <w:rFonts w:ascii="Arial" w:cs="Arial" w:eastAsia="Arial" w:hAnsi="Arial"/>
          <w:sz w:val="20"/>
          <w:szCs w:val="20"/>
          <w:color w:val="auto"/>
        </w:rPr>
      </w:pPr>
    </w:p>
    <w:p>
      <w:pPr>
        <w:jc w:val="both"/>
        <w:ind w:firstLine="656"/>
        <w:spacing w:after="0" w:line="243" w:lineRule="auto"/>
        <w:tabs>
          <w:tab w:leader="none" w:pos="119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Davis Polk &amp; Wardwell LLP, counsel for the Company and each of the Selling Stockholders that is a Delaware limited liability company or a Delaware corporation, as the case may be, shall have furnished to you their written opinion and negative assurance letter, dated such Time of Delivery, in form and substance reasonably satisfactory to you;</w:t>
      </w:r>
    </w:p>
    <w:p>
      <w:pPr>
        <w:spacing w:after="0" w:line="151" w:lineRule="exact"/>
        <w:rPr>
          <w:rFonts w:ascii="Arial" w:cs="Arial" w:eastAsia="Arial" w:hAnsi="Arial"/>
          <w:sz w:val="20"/>
          <w:szCs w:val="20"/>
          <w:color w:val="auto"/>
        </w:rPr>
      </w:pPr>
    </w:p>
    <w:p>
      <w:pPr>
        <w:ind w:right="60" w:firstLine="656"/>
        <w:spacing w:after="0" w:line="243" w:lineRule="auto"/>
        <w:tabs>
          <w:tab w:leader="none" w:pos="111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Maples and Calder (Cayman) LLP, counsel for MBD 2013 Holdings, L.P. and Bridge Street 2013 Holdings, L.P., each an exempted limited partnership in the Cayman Islands and each a Selling Stockholder hereto, shall have furnished to you their written opinion, dated such Time of Delivery, in form and substance reasonably satisfactory to you.</w:t>
      </w:r>
    </w:p>
    <w:p>
      <w:pPr>
        <w:spacing w:after="0" w:line="151" w:lineRule="exact"/>
        <w:rPr>
          <w:rFonts w:ascii="Arial" w:cs="Arial" w:eastAsia="Arial" w:hAnsi="Arial"/>
          <w:sz w:val="20"/>
          <w:szCs w:val="20"/>
          <w:color w:val="auto"/>
        </w:rPr>
      </w:pPr>
    </w:p>
    <w:p>
      <w:pPr>
        <w:ind w:right="160" w:firstLine="656"/>
        <w:spacing w:after="0" w:line="243" w:lineRule="auto"/>
        <w:tabs>
          <w:tab w:leader="none" w:pos="111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Mourant Ozannes (Cayman) LLP, counsel for Pamplona Capital Partners III, L.P., an exempted limited partnership in the Cayman Islands and a Selling Stockholder hereto, shall have furnished to you their written opinion, dated such Time of Delivery, in form and substance reasonably satisfactory to you.</w:t>
      </w:r>
    </w:p>
    <w:p>
      <w:pPr>
        <w:spacing w:after="0" w:line="151" w:lineRule="exact"/>
        <w:rPr>
          <w:rFonts w:ascii="Arial" w:cs="Arial" w:eastAsia="Arial" w:hAnsi="Arial"/>
          <w:sz w:val="20"/>
          <w:szCs w:val="20"/>
          <w:color w:val="auto"/>
        </w:rPr>
      </w:pPr>
    </w:p>
    <w:p>
      <w:pPr>
        <w:jc w:val="both"/>
        <w:ind w:firstLine="656"/>
        <w:spacing w:after="0" w:line="241" w:lineRule="auto"/>
        <w:tabs>
          <w:tab w:leader="none" w:pos="109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PricewaterhouseCoopers LLP shall have furnished to you a letter or letters, dated the respective dates of delivery thereof, in form and substance satisfactory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32" w:right="339" w:bottom="1440" w:gutter="0" w:footer="0" w:header="0"/>
        </w:sectPr>
      </w:pPr>
    </w:p>
    <w:bookmarkStart w:id="269" w:name="page270"/>
    <w:bookmarkEnd w:id="269"/>
    <w:p>
      <w:pPr>
        <w:jc w:val="both"/>
        <w:ind w:firstLine="656"/>
        <w:spacing w:after="0"/>
        <w:tabs>
          <w:tab w:leader="none" w:pos="111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55" w:lineRule="exact"/>
        <w:rPr>
          <w:rFonts w:ascii="Arial" w:cs="Arial" w:eastAsia="Arial" w:hAnsi="Arial"/>
          <w:sz w:val="20"/>
          <w:szCs w:val="20"/>
          <w:color w:val="auto"/>
        </w:rPr>
      </w:pPr>
    </w:p>
    <w:p>
      <w:pPr>
        <w:jc w:val="both"/>
        <w:ind w:firstLine="656"/>
        <w:spacing w:after="0" w:line="241" w:lineRule="auto"/>
        <w:tabs>
          <w:tab w:leader="none" w:pos="113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w:t>
      </w:r>
    </w:p>
    <w:p>
      <w:pPr>
        <w:spacing w:after="0" w:line="156" w:lineRule="exact"/>
        <w:rPr>
          <w:rFonts w:ascii="Arial" w:cs="Arial" w:eastAsia="Arial" w:hAnsi="Arial"/>
          <w:sz w:val="20"/>
          <w:szCs w:val="20"/>
          <w:color w:val="auto"/>
        </w:rPr>
      </w:pPr>
    </w:p>
    <w:p>
      <w:pPr>
        <w:jc w:val="both"/>
        <w:ind w:firstLine="656"/>
        <w:spacing w:after="0"/>
        <w:tabs>
          <w:tab w:leader="none" w:pos="114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On or after the Applicable Time there shall not have occurred any of the following: (i) a suspension or material limitation in trading in securities generally on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57" w:lineRule="exact"/>
        <w:rPr>
          <w:rFonts w:ascii="Arial" w:cs="Arial" w:eastAsia="Arial" w:hAnsi="Arial"/>
          <w:sz w:val="20"/>
          <w:szCs w:val="20"/>
          <w:color w:val="auto"/>
        </w:rPr>
      </w:pPr>
    </w:p>
    <w:p>
      <w:pPr>
        <w:ind w:left="1040" w:hanging="384"/>
        <w:spacing w:after="0"/>
        <w:tabs>
          <w:tab w:leader="none" w:pos="10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Shares to be sold at such Time of Delivery shall have been duly listed on NASDAQ;</w:t>
      </w:r>
    </w:p>
    <w:p>
      <w:pPr>
        <w:spacing w:after="0" w:line="161" w:lineRule="exact"/>
        <w:rPr>
          <w:rFonts w:ascii="Arial" w:cs="Arial" w:eastAsia="Arial" w:hAnsi="Arial"/>
          <w:sz w:val="20"/>
          <w:szCs w:val="20"/>
          <w:color w:val="auto"/>
        </w:rPr>
      </w:pPr>
    </w:p>
    <w:p>
      <w:pPr>
        <w:jc w:val="both"/>
        <w:ind w:firstLine="656"/>
        <w:spacing w:after="0" w:line="243" w:lineRule="auto"/>
        <w:tabs>
          <w:tab w:leader="none" w:pos="114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Company shall have obtained and delivered to the Underwriters executed copies of an agreement from each officer, director and selling stockholder of the Company, substantially to the effect set forth in Annex I hereto in form and substance satisfactory to you;</w:t>
      </w:r>
    </w:p>
    <w:p>
      <w:pPr>
        <w:spacing w:after="0" w:line="151" w:lineRule="exact"/>
        <w:rPr>
          <w:rFonts w:ascii="Arial" w:cs="Arial" w:eastAsia="Arial" w:hAnsi="Arial"/>
          <w:sz w:val="20"/>
          <w:szCs w:val="20"/>
          <w:color w:val="auto"/>
        </w:rPr>
      </w:pPr>
    </w:p>
    <w:p>
      <w:pPr>
        <w:ind w:firstLine="656"/>
        <w:spacing w:after="0" w:line="246" w:lineRule="auto"/>
        <w:tabs>
          <w:tab w:leader="none" w:pos="117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Company shall have complied with the provisions of Section 5(c) hereof with respect to the furnishing of prospectuses on the New York Business Day next succeeding the date of this Agreement;</w:t>
      </w:r>
    </w:p>
    <w:p>
      <w:pPr>
        <w:spacing w:after="0" w:line="149" w:lineRule="exact"/>
        <w:rPr>
          <w:rFonts w:ascii="Arial" w:cs="Arial" w:eastAsia="Arial" w:hAnsi="Arial"/>
          <w:sz w:val="20"/>
          <w:szCs w:val="20"/>
          <w:color w:val="auto"/>
        </w:rPr>
      </w:pPr>
    </w:p>
    <w:p>
      <w:pPr>
        <w:ind w:firstLine="656"/>
        <w:spacing w:after="0" w:line="246" w:lineRule="auto"/>
        <w:tabs>
          <w:tab w:leader="none" w:pos="118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Company and the Selling Stockholders shall have furnished or caused to be furnished to you at such Time of Delivery certificates of officers of the Company and an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32" w:right="339" w:bottom="1440" w:gutter="0" w:footer="0" w:header="0"/>
        </w:sectPr>
      </w:pPr>
    </w:p>
    <w:bookmarkStart w:id="270" w:name="page271"/>
    <w:bookmarkEnd w:id="270"/>
    <w:p>
      <w:pPr>
        <w:jc w:val="both"/>
        <w:spacing w:after="0" w:line="241" w:lineRule="auto"/>
        <w:rPr>
          <w:sz w:val="20"/>
          <w:szCs w:val="20"/>
          <w:color w:val="auto"/>
        </w:rPr>
      </w:pPr>
      <w:r>
        <w:rPr>
          <w:rFonts w:ascii="Arial" w:cs="Arial" w:eastAsia="Arial" w:hAnsi="Arial"/>
          <w:sz w:val="20"/>
          <w:szCs w:val="20"/>
          <w:color w:val="auto"/>
        </w:rPr>
        <w:t>in Fact on behalf of the Selling Stockholders, respectively, satisfactory to you as to the accuracy of the representations and warranties of the Company and the Selling Stockholders, respectively, herein at and as of such Time of Delivery, as to the performance by the Company and the Selling Stockholders of all of its or their obligations hereunder to be performed at or prior to such Time of Delivery, as to the matters set forth in subsections (a) and (f) of this Section and as to such other matters as you may reasonably request; and</w:t>
      </w:r>
    </w:p>
    <w:p>
      <w:pPr>
        <w:spacing w:after="0" w:line="155" w:lineRule="exact"/>
        <w:rPr>
          <w:sz w:val="20"/>
          <w:szCs w:val="20"/>
          <w:color w:val="auto"/>
        </w:rPr>
      </w:pPr>
    </w:p>
    <w:p>
      <w:pPr>
        <w:jc w:val="both"/>
        <w:ind w:firstLine="656"/>
        <w:spacing w:after="0" w:line="241" w:lineRule="auto"/>
        <w:tabs>
          <w:tab w:leader="none" w:pos="115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order to document the Underwriters' compliance with the reporting and withholding provisions of the Tax Equity and Fiscal Responsibility Act of 1982 with respect to the transactions herein contemplated, each Selling Stockholder will deliver to you prior to or at the Time of Delivery (as defined in Section 4(a) hereof) a properly completed and executed United States Treasury Department Form W-9 (or other applicable form or statement specified by Treasury Department regulations in lieu thereof).</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9.</w:t>
      </w:r>
    </w:p>
    <w:p>
      <w:pPr>
        <w:spacing w:after="0" w:line="162" w:lineRule="exact"/>
        <w:rPr>
          <w:sz w:val="20"/>
          <w:szCs w:val="20"/>
          <w:color w:val="auto"/>
        </w:rPr>
      </w:pPr>
    </w:p>
    <w:p>
      <w:pPr>
        <w:jc w:val="both"/>
        <w:ind w:firstLine="656"/>
        <w:spacing w:after="0" w:line="239" w:lineRule="auto"/>
        <w:tabs>
          <w:tab w:leader="none" w:pos="1117"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The Company will indemnify and hold harmless each Underwriter and each Selling Stockholder against any losses, claims, damages or liabilities, joint or several, to which such Underwriter or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and Selling Stockholder for any reasonable and documented out-of-pocket any legal or other expenses reasonably incurred and documented by such Underwriter or Selling Stockholder in connection with investigating or defending any such action or claim as such expenses are incurred;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69" w:lineRule="exact"/>
        <w:rPr>
          <w:rFonts w:ascii="Arial" w:cs="Arial" w:eastAsia="Arial" w:hAnsi="Arial"/>
          <w:sz w:val="20"/>
          <w:szCs w:val="20"/>
          <w:color w:val="auto"/>
        </w:rPr>
      </w:pPr>
    </w:p>
    <w:p>
      <w:pPr>
        <w:jc w:val="both"/>
        <w:ind w:firstLine="656"/>
        <w:spacing w:after="0" w:line="254" w:lineRule="auto"/>
        <w:tabs>
          <w:tab w:leader="none" w:pos="114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Each Selling Stockholder, severally and not jointly,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provided that such Selling Stockholder shall be liable only to the extent that such untrue statement or alleged untrue statement or omission or alleged omission has been made in the Registration Statement, any Preliminary Prospectus,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32" w:right="339" w:bottom="1440" w:gutter="0" w:footer="0" w:header="0"/>
        </w:sectPr>
      </w:pPr>
    </w:p>
    <w:bookmarkStart w:id="271" w:name="page272"/>
    <w:bookmarkEnd w:id="271"/>
    <w:p>
      <w:pPr>
        <w:jc w:val="both"/>
        <w:spacing w:after="0"/>
        <w:rPr>
          <w:sz w:val="20"/>
          <w:szCs w:val="20"/>
          <w:color w:val="auto"/>
        </w:rPr>
      </w:pPr>
      <w:r>
        <w:rPr>
          <w:rFonts w:ascii="Arial" w:cs="Arial" w:eastAsia="Arial" w:hAnsi="Arial"/>
          <w:sz w:val="20"/>
          <w:szCs w:val="20"/>
          <w:color w:val="auto"/>
        </w:rPr>
        <w:t>Pricing Prospectus or the Prospectus, or any amendment or supplement thereto, any Issuer Free Writing Prospectus, any roadshow or any Testing-the-Waters Communication in reliance upon and in conformity with its Selling Stockholder Information; and will reimburse each Underwriter for any legal or other expenses reasonably incurred and documented by such Underwriter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in reliance upon and in conformity with the Underwriter Information; provided, further, that the liability of each Selling Stockholder pursuant to this subsection (b) shall not exceed the proceeds (net of any underwriting discounts and commissions but before deducting expenses) from the sale of the Shares sold by such Selling Stockholder hereunder (the “Selling Stockholder Proceeds”).</w:t>
      </w:r>
    </w:p>
    <w:p>
      <w:pPr>
        <w:spacing w:after="0" w:line="157" w:lineRule="exact"/>
        <w:rPr>
          <w:sz w:val="20"/>
          <w:szCs w:val="20"/>
          <w:color w:val="auto"/>
        </w:rPr>
      </w:pPr>
    </w:p>
    <w:p>
      <w:pPr>
        <w:jc w:val="both"/>
        <w:ind w:firstLine="656"/>
        <w:spacing w:after="0" w:line="239" w:lineRule="auto"/>
        <w:tabs>
          <w:tab w:leader="none" w:pos="125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each Selling Stockholder for any legal or other expenses reasonably incurred and documented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any reallowance figures appearing in the fifth paragraph under the caption “Underwriting”, and the information contained in the ninth, tenth and eleventh paragraphs under the caption “Underwriting”.</w:t>
      </w:r>
    </w:p>
    <w:p>
      <w:pPr>
        <w:spacing w:after="0" w:line="171" w:lineRule="exact"/>
        <w:rPr>
          <w:rFonts w:ascii="Arial" w:cs="Arial" w:eastAsia="Arial" w:hAnsi="Arial"/>
          <w:sz w:val="20"/>
          <w:szCs w:val="20"/>
          <w:color w:val="auto"/>
        </w:rPr>
      </w:pPr>
    </w:p>
    <w:p>
      <w:pPr>
        <w:jc w:val="both"/>
        <w:ind w:firstLine="656"/>
        <w:spacing w:after="0" w:line="241" w:lineRule="auto"/>
        <w:tabs>
          <w:tab w:leader="none" w:pos="111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Promptly after receipt by an indemnified party under subsection (a), (b) or (c)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32" w:right="339" w:bottom="1440" w:gutter="0" w:footer="0" w:header="0"/>
        </w:sectPr>
      </w:pPr>
    </w:p>
    <w:bookmarkStart w:id="272" w:name="page273"/>
    <w:bookmarkEnd w:id="272"/>
    <w:p>
      <w:pPr>
        <w:jc w:val="both"/>
        <w:spacing w:after="0" w:line="253" w:lineRule="auto"/>
        <w:rPr>
          <w:sz w:val="20"/>
          <w:szCs w:val="20"/>
          <w:color w:val="auto"/>
        </w:rPr>
      </w:pPr>
      <w:r>
        <w:rPr>
          <w:rFonts w:ascii="Arial" w:cs="Arial" w:eastAsia="Arial" w:hAnsi="Arial"/>
          <w:sz w:val="19"/>
          <w:szCs w:val="19"/>
          <w:color w:val="auto"/>
        </w:rPr>
        <w:t>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50" w:lineRule="exact"/>
        <w:rPr>
          <w:sz w:val="20"/>
          <w:szCs w:val="20"/>
          <w:color w:val="auto"/>
        </w:rPr>
      </w:pPr>
    </w:p>
    <w:p>
      <w:pPr>
        <w:jc w:val="both"/>
        <w:ind w:firstLine="656"/>
        <w:spacing w:after="0" w:line="239" w:lineRule="auto"/>
        <w:tabs>
          <w:tab w:leader="none" w:pos="1149"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and with the proportion among the Company and the Selling Stockholders to reflect the relative fault of the Company and the Selling Stockholders.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and with the proportion among the Company and the Selling Stockholders to reflect the relative fault of the Company and the Selling Stockholders. The relative benefits received by the Selling Stockholders on the one hand and the Underwriters on the other shall be deemed to be in the same proportion as the total net proceeds from the offering (before deducting expenses) received by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and the Selling Stockholders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32" w:right="339" w:bottom="1440" w:gutter="0" w:footer="0" w:header="0"/>
        </w:sectPr>
      </w:pPr>
    </w:p>
    <w:bookmarkStart w:id="273" w:name="page274"/>
    <w:bookmarkEnd w:id="273"/>
    <w:p>
      <w:pPr>
        <w:jc w:val="both"/>
        <w:spacing w:after="0"/>
        <w:rPr>
          <w:sz w:val="20"/>
          <w:szCs w:val="20"/>
          <w:color w:val="auto"/>
        </w:rPr>
      </w:pPr>
      <w:r>
        <w:rPr>
          <w:rFonts w:ascii="Arial" w:cs="Arial" w:eastAsia="Arial" w:hAnsi="Arial"/>
          <w:sz w:val="20"/>
          <w:szCs w:val="20"/>
          <w:color w:val="auto"/>
        </w:rPr>
        <w:t xml:space="preserve">subsection (e) were determined by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allocation (even if the Selling Stockholders or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and documented by such indemnified party in connection with investigating or defending any such action or claim. Notwithstanding the provisions of this subsection (e), (i)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and (ii) contribution by the Selling Stockholders pursuant to this subsection (e) shall not exceed the Selling Stockholder Proceeds (reduced by any amounts such Selling Stockholder has paid under subsection (b) above) and (iii) the Selling Stockholders shall be liable only to the extent that the relevant loss, claim, damage or liability arises out of or is based upon an untrue statement or alleged untrue statement or omission or alleged omission, in each case, which relates to the Selling Stockholders made in the Registration Statement, any Preliminary Prospectus, the Pricing Prospectus or the Prospectus, or any amendment or supplement thereto, or any Issuer Free Writing Prospectus, or any roadshow, or any Section 5(d) Writing, in reliance upon and in conformity with any Selling Stockholder Information furnished to the Underwriters in writing by the Selling Stockholders expressly for use therein.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and the Selling Stockholders’ obligations in this subsection (e) to contribute are several in proportion to their Selling Stockholder Proceeds and not joint.</w:t>
      </w:r>
    </w:p>
    <w:p>
      <w:pPr>
        <w:spacing w:after="0" w:line="172" w:lineRule="exact"/>
        <w:rPr>
          <w:sz w:val="20"/>
          <w:szCs w:val="20"/>
          <w:color w:val="auto"/>
        </w:rPr>
      </w:pPr>
    </w:p>
    <w:p>
      <w:pPr>
        <w:jc w:val="both"/>
        <w:ind w:firstLine="656"/>
        <w:spacing w:after="0" w:line="255" w:lineRule="auto"/>
        <w:tabs>
          <w:tab w:leader="none" w:pos="112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w:t>
      </w:r>
    </w:p>
    <w:p>
      <w:pPr>
        <w:spacing w:after="0" w:line="162" w:lineRule="exact"/>
        <w:rPr>
          <w:sz w:val="20"/>
          <w:szCs w:val="20"/>
          <w:color w:val="auto"/>
        </w:rPr>
      </w:pPr>
    </w:p>
    <w:p>
      <w:pPr>
        <w:jc w:val="both"/>
        <w:ind w:firstLine="656"/>
        <w:spacing w:after="0"/>
        <w:tabs>
          <w:tab w:leader="none" w:pos="114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Stockholders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Stockholders that you have so arranged for the purchase of such Shares, or the Company or a Selling Stockholder notifies you that it has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2" w:right="339" w:bottom="1440" w:gutter="0" w:footer="0" w:header="0"/>
        </w:sectPr>
      </w:pPr>
    </w:p>
    <w:bookmarkStart w:id="274" w:name="page275"/>
    <w:bookmarkEnd w:id="274"/>
    <w:p>
      <w:pPr>
        <w:jc w:val="both"/>
        <w:spacing w:after="0"/>
        <w:rPr>
          <w:sz w:val="20"/>
          <w:szCs w:val="20"/>
          <w:color w:val="auto"/>
        </w:rPr>
      </w:pPr>
      <w:r>
        <w:rPr>
          <w:rFonts w:ascii="Arial" w:cs="Arial" w:eastAsia="Arial" w:hAnsi="Arial"/>
          <w:sz w:val="20"/>
          <w:szCs w:val="20"/>
          <w:color w:val="auto"/>
        </w:rPr>
        <w:t>arranged for the purchase of such Shares, you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59" w:lineRule="exact"/>
        <w:rPr>
          <w:sz w:val="20"/>
          <w:szCs w:val="20"/>
          <w:color w:val="auto"/>
        </w:rPr>
      </w:pPr>
    </w:p>
    <w:p>
      <w:pPr>
        <w:jc w:val="both"/>
        <w:ind w:firstLine="656"/>
        <w:spacing w:after="0" w:line="255" w:lineRule="auto"/>
        <w:tabs>
          <w:tab w:leader="none" w:pos="1115"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If, after giving effect to any arrangements for the purchase of the Shares of a defaulting Underwriter or Underwriters by you and the Company and the Selling Stockholders as provided in subsection (a) above, the aggregate number of such Shares which remains unpurchased does not exceed one-eleventh of the aggregate number of all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40" w:lineRule="exact"/>
        <w:rPr>
          <w:rFonts w:ascii="Arial" w:cs="Arial" w:eastAsia="Arial" w:hAnsi="Arial"/>
          <w:sz w:val="19"/>
          <w:szCs w:val="19"/>
          <w:color w:val="auto"/>
        </w:rPr>
      </w:pPr>
    </w:p>
    <w:p>
      <w:pPr>
        <w:jc w:val="both"/>
        <w:ind w:firstLine="656"/>
        <w:spacing w:after="0"/>
        <w:tabs>
          <w:tab w:leader="none" w:pos="1106"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If, after giving effect to any arrangements for the purchase of the Shares of a defaulting Underwriter or Underwriters by you and the Company and the Selling Stockholders as provided in subsection (a) above, the aggregate number of such Shares which remains unpurchased exceeds one-eleventh of the aggregate number of all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or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157" w:lineRule="exact"/>
        <w:rPr>
          <w:sz w:val="20"/>
          <w:szCs w:val="20"/>
          <w:color w:val="auto"/>
        </w:rPr>
      </w:pPr>
    </w:p>
    <w:p>
      <w:pPr>
        <w:jc w:val="both"/>
        <w:ind w:firstLine="656"/>
        <w:spacing w:after="0"/>
        <w:tabs>
          <w:tab w:leader="none" w:pos="115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respective indemnities, rights of contribution,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or any controlling person of any Selling Stockholder, and shall survive delivery of and payment for the Shares.</w:t>
      </w:r>
    </w:p>
    <w:p>
      <w:pPr>
        <w:spacing w:after="0" w:line="159" w:lineRule="exact"/>
        <w:rPr>
          <w:rFonts w:ascii="Arial" w:cs="Arial" w:eastAsia="Arial" w:hAnsi="Arial"/>
          <w:sz w:val="20"/>
          <w:szCs w:val="20"/>
          <w:color w:val="auto"/>
        </w:rPr>
      </w:pPr>
    </w:p>
    <w:p>
      <w:pPr>
        <w:jc w:val="both"/>
        <w:ind w:firstLine="656"/>
        <w:spacing w:after="0" w:line="241" w:lineRule="auto"/>
        <w:tabs>
          <w:tab w:leader="none" w:pos="1332"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If this Agreement shall be terminated pursuant to Section 10 hereof, neither the Company nor the Selling Stockholders shall then be under any liability to any Underwriter except as provided in Sections 7 and 9 hereof; but, if for any other reason, any Shares are not delivered by or on behalf of the Company and the Selling Stockholders as provided herein or the Underwriters decline to purchase the Shares for any reason permitted under this Agreement, the Company will reimburse the Underwriters through you for all out-of-pocket expenses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32" w:right="339" w:bottom="1440" w:gutter="0" w:footer="0" w:header="0"/>
        </w:sectPr>
      </w:pPr>
    </w:p>
    <w:bookmarkStart w:id="275" w:name="page276"/>
    <w:bookmarkEnd w:id="275"/>
    <w:p>
      <w:pPr>
        <w:jc w:val="both"/>
        <w:spacing w:after="0" w:line="243" w:lineRule="auto"/>
        <w:rPr>
          <w:sz w:val="20"/>
          <w:szCs w:val="20"/>
          <w:color w:val="auto"/>
        </w:rPr>
      </w:pPr>
      <w:r>
        <w:rPr>
          <w:rFonts w:ascii="Arial" w:cs="Arial" w:eastAsia="Arial" w:hAnsi="Arial"/>
          <w:sz w:val="20"/>
          <w:szCs w:val="20"/>
          <w:color w:val="auto"/>
        </w:rPr>
        <w:t>in writing by you, including fees and disbursements of counsel, reasonably incurred and documented by the Underwriters in making preparations for the purchase, sale and delivery of the Shares not so delivered, but the Company and the Selling Stockholders shall then be under no further liability to any Underwriter except as provided in Sections 7 and 9 hereof.</w:t>
      </w:r>
    </w:p>
    <w:p>
      <w:pPr>
        <w:spacing w:after="0" w:line="152" w:lineRule="exact"/>
        <w:rPr>
          <w:sz w:val="20"/>
          <w:szCs w:val="20"/>
          <w:color w:val="auto"/>
        </w:rPr>
      </w:pPr>
    </w:p>
    <w:p>
      <w:pPr>
        <w:jc w:val="both"/>
        <w:ind w:firstLine="656"/>
        <w:spacing w:after="0" w:line="241" w:lineRule="auto"/>
        <w:tabs>
          <w:tab w:leader="none" w:pos="1248"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on behalf of the Underwriters and in all dealings with any Selling Stockholder hereunder, you and the Company shall be entitled to act and rely upon any statement, request, notice or agreement made or given by any or all of the Attorneys in Fact for such Selling Stockholder.</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9"/>
          <w:szCs w:val="19"/>
          <w:color w:val="auto"/>
        </w:rPr>
        <w:t>All statements, requests, notices and agreements hereunder shall be in writing, and if to the Underwriters shall be delivered or sent by mail, telex or facsimile transmission to Goldman Sachs &amp; Co. LLC, 200 West Street, New York, New York 10282-2198, Attention: Registration Department; J.P. Morgan Securities LLC, 383 Madison Avenue, New York, NY 10179, Attention: Equity Syndicate Desk; and if to the Company shall be delivered or sent by mail, telex or facsimile transmission to the address of the Company set forth in the Registration Statement, Attention: Legal, with a copy (which shall not constitute notice) to Davis Polk &amp; Wardwell LLP, 450 Lexington Avenue, New York, NY 10017; and if to any Selling Stockholder to each of the Attorneys-in-Fact named in the Power of Attorney;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by you upon request; provided, however, that notices under Section 5(e) shall be in writing, and if to the Underwriters shall be delivered or sent by mail, telex or facsimile transmission to the Representatives at Goldman Sachs &amp; Co. LLC, 200 West Street, New York, NY 10282-2198, Attention: Control Room; and J.P. Morgan Securities LLC, 383 Madison Avenue, New York, NY 10179, Attention: Equity Syndicate Desk, with a copy (which shall not constitute notice) to Goodwin Procter LLP, 620 Eighth Avenue, New York, NY 10018. Any such statements, requests, notices or agreements shall take effect upon receipt thereof.</w:t>
      </w:r>
    </w:p>
    <w:p>
      <w:pPr>
        <w:spacing w:after="0" w:line="15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56" w:lineRule="exact"/>
        <w:rPr>
          <w:sz w:val="20"/>
          <w:szCs w:val="20"/>
          <w:color w:val="auto"/>
        </w:rPr>
      </w:pPr>
    </w:p>
    <w:p>
      <w:pPr>
        <w:jc w:val="both"/>
        <w:ind w:firstLine="656"/>
        <w:spacing w:after="0"/>
        <w:tabs>
          <w:tab w:leader="none" w:pos="1191"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32" w:right="339" w:bottom="1440" w:gutter="0" w:footer="0" w:header="0"/>
        </w:sectPr>
      </w:pPr>
    </w:p>
    <w:bookmarkStart w:id="276" w:name="page277"/>
    <w:bookmarkEnd w:id="276"/>
    <w:p>
      <w:pPr>
        <w:ind w:firstLine="656"/>
        <w:spacing w:after="0" w:line="246" w:lineRule="auto"/>
        <w:tabs>
          <w:tab w:leader="none" w:pos="115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Time shall be of the essence of this Agreement. As used herein, the term “business day” shall mean any day when the Commission's office in Washington, D.C. is open for business.</w:t>
      </w:r>
    </w:p>
    <w:p>
      <w:pPr>
        <w:spacing w:after="0" w:line="149" w:lineRule="exact"/>
        <w:rPr>
          <w:rFonts w:ascii="Arial" w:cs="Arial" w:eastAsia="Arial" w:hAnsi="Arial"/>
          <w:sz w:val="20"/>
          <w:szCs w:val="20"/>
          <w:color w:val="auto"/>
        </w:rPr>
      </w:pPr>
    </w:p>
    <w:p>
      <w:pPr>
        <w:jc w:val="both"/>
        <w:ind w:firstLine="656"/>
        <w:spacing w:after="0"/>
        <w:tabs>
          <w:tab w:leader="none" w:pos="1191"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Company and the Selling Stockholders acknowledge and agree that (i) the purchase and sale of the Shares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on other matters) or any other obligation to the Company or any Selling Stockholder except the obligations expressly set forth in this Agreement, (iv) the Company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agrees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155" w:lineRule="exact"/>
        <w:rPr>
          <w:rFonts w:ascii="Arial" w:cs="Arial" w:eastAsia="Arial" w:hAnsi="Arial"/>
          <w:sz w:val="20"/>
          <w:szCs w:val="20"/>
          <w:color w:val="auto"/>
        </w:rPr>
      </w:pPr>
    </w:p>
    <w:p>
      <w:pPr>
        <w:ind w:firstLine="656"/>
        <w:spacing w:after="0" w:line="246" w:lineRule="auto"/>
        <w:tabs>
          <w:tab w:leader="none" w:pos="1314"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This Agreement supersedes all prior agreements and understandings (whether written or oral) between the Company, the Selling Stockholders and the Underwriters, or any of them, with respect to the subject matter hereof.</w:t>
      </w:r>
    </w:p>
    <w:p>
      <w:pPr>
        <w:spacing w:after="0" w:line="149" w:lineRule="exact"/>
        <w:rPr>
          <w:rFonts w:ascii="Arial" w:cs="Arial" w:eastAsia="Arial" w:hAnsi="Arial"/>
          <w:sz w:val="20"/>
          <w:szCs w:val="20"/>
          <w:color w:val="auto"/>
        </w:rPr>
      </w:pPr>
    </w:p>
    <w:p>
      <w:pPr>
        <w:jc w:val="both"/>
        <w:ind w:firstLine="656"/>
        <w:spacing w:after="0"/>
        <w:tabs>
          <w:tab w:leader="none" w:pos="114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and each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w:t>
      </w:r>
    </w:p>
    <w:p>
      <w:pPr>
        <w:spacing w:after="0" w:line="158" w:lineRule="exact"/>
        <w:rPr>
          <w:rFonts w:ascii="Arial" w:cs="Arial" w:eastAsia="Arial" w:hAnsi="Arial"/>
          <w:sz w:val="20"/>
          <w:szCs w:val="20"/>
          <w:color w:val="auto"/>
        </w:rPr>
      </w:pPr>
    </w:p>
    <w:p>
      <w:pPr>
        <w:jc w:val="both"/>
        <w:ind w:firstLine="656"/>
        <w:spacing w:after="0" w:line="243" w:lineRule="auto"/>
        <w:tabs>
          <w:tab w:leader="none" w:pos="115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1" w:lineRule="exact"/>
        <w:rPr>
          <w:rFonts w:ascii="Arial" w:cs="Arial" w:eastAsia="Arial" w:hAnsi="Arial"/>
          <w:sz w:val="20"/>
          <w:szCs w:val="20"/>
          <w:color w:val="auto"/>
        </w:rPr>
      </w:pPr>
    </w:p>
    <w:p>
      <w:pPr>
        <w:jc w:val="both"/>
        <w:ind w:firstLine="656"/>
        <w:spacing w:after="0"/>
        <w:tabs>
          <w:tab w:leader="none" w:pos="1197" w:val="left"/>
        </w:tabs>
        <w:numPr>
          <w:ilvl w:val="0"/>
          <w:numId w:val="210"/>
        </w:numPr>
        <w:rPr>
          <w:rFonts w:ascii="Arial" w:cs="Arial" w:eastAsia="Arial" w:hAnsi="Arial"/>
          <w:sz w:val="20"/>
          <w:szCs w:val="20"/>
          <w:color w:val="auto"/>
        </w:rPr>
      </w:pPr>
      <w:r>
        <w:rPr>
          <w:rFonts w:ascii="Arial" w:cs="Arial" w:eastAsia="Arial" w:hAnsi="Arial"/>
          <w:sz w:val="20"/>
          <w:szCs w:val="20"/>
          <w:color w:val="auto"/>
        </w:rPr>
        <w:t>Without limiting the applicability of Section 2 hereof or any other provision of this Agreement, with respect to any Underwriter who is or is affiliated with any person or entity engaged to act as an investment adviser on behalf of a client who has a direct or indirect interest in the Shares being sold by a Selling Stockholder, the Shares being sold to such Underwriter shall not include any Shares attributable to such client (with any such Shares instead being allocated and sold to the other Underwriters) and, accordingly, the fees or other amounts received by such Underwriter in connection with the transactions contemplated hereby shall not include any fees or any other amounts attributable to such client (and, if there is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32" w:right="339" w:bottom="1440" w:gutter="0" w:footer="0" w:header="0"/>
        </w:sectPr>
      </w:pPr>
    </w:p>
    <w:bookmarkStart w:id="277" w:name="page278"/>
    <w:bookmarkEnd w:id="277"/>
    <w:p>
      <w:pPr>
        <w:spacing w:after="0" w:line="246" w:lineRule="auto"/>
        <w:rPr>
          <w:sz w:val="20"/>
          <w:szCs w:val="20"/>
          <w:color w:val="auto"/>
        </w:rPr>
      </w:pPr>
      <w:r>
        <w:rPr>
          <w:rFonts w:ascii="Arial" w:cs="Arial" w:eastAsia="Arial" w:hAnsi="Arial"/>
          <w:sz w:val="20"/>
          <w:szCs w:val="20"/>
          <w:color w:val="auto"/>
        </w:rPr>
        <w:t>unsold allotment in the offering at the Time of Delivery, such unsold allotment in respect of Shares attributable to such client shall be allocated solely to Underwriters not affiliated with such client).</w:t>
      </w:r>
    </w:p>
    <w:p>
      <w:pPr>
        <w:spacing w:after="0" w:line="150" w:lineRule="exact"/>
        <w:rPr>
          <w:sz w:val="20"/>
          <w:szCs w:val="20"/>
          <w:color w:val="auto"/>
        </w:rPr>
      </w:pPr>
    </w:p>
    <w:p>
      <w:pPr>
        <w:jc w:val="both"/>
        <w:ind w:firstLine="656"/>
        <w:spacing w:after="0"/>
        <w:tabs>
          <w:tab w:leader="none" w:pos="115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9" w:lineRule="exact"/>
        <w:rPr>
          <w:rFonts w:ascii="Arial" w:cs="Arial" w:eastAsia="Arial" w:hAnsi="Arial"/>
          <w:sz w:val="20"/>
          <w:szCs w:val="20"/>
          <w:color w:val="auto"/>
        </w:rPr>
      </w:pPr>
    </w:p>
    <w:p>
      <w:pPr>
        <w:jc w:val="both"/>
        <w:ind w:firstLine="656"/>
        <w:spacing w:after="0"/>
        <w:tabs>
          <w:tab w:leader="none" w:pos="1269" w:val="left"/>
        </w:tabs>
        <w:numPr>
          <w:ilvl w:val="0"/>
          <w:numId w:val="211"/>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58" w:lineRule="exact"/>
        <w:rPr>
          <w:rFonts w:ascii="Arial" w:cs="Arial" w:eastAsia="Arial" w:hAnsi="Arial"/>
          <w:sz w:val="20"/>
          <w:szCs w:val="20"/>
          <w:color w:val="auto"/>
        </w:rPr>
      </w:pPr>
    </w:p>
    <w:p>
      <w:pPr>
        <w:ind w:left="1160" w:hanging="504"/>
        <w:spacing w:after="0"/>
        <w:tabs>
          <w:tab w:leader="none" w:pos="11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Recognition of the U.S. Special Resolution Regimes.</w:t>
      </w:r>
    </w:p>
    <w:p>
      <w:pPr>
        <w:spacing w:after="0" w:line="162" w:lineRule="exact"/>
        <w:rPr>
          <w:sz w:val="20"/>
          <w:szCs w:val="20"/>
          <w:color w:val="auto"/>
        </w:rPr>
      </w:pPr>
    </w:p>
    <w:p>
      <w:pPr>
        <w:jc w:val="both"/>
        <w:ind w:firstLine="656"/>
        <w:spacing w:after="0" w:line="241" w:lineRule="auto"/>
        <w:tabs>
          <w:tab w:leader="none" w:pos="1164"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4" w:lineRule="exact"/>
        <w:rPr>
          <w:rFonts w:ascii="Arial" w:cs="Arial" w:eastAsia="Arial" w:hAnsi="Arial"/>
          <w:sz w:val="20"/>
          <w:szCs w:val="20"/>
          <w:color w:val="auto"/>
        </w:rPr>
      </w:pPr>
    </w:p>
    <w:p>
      <w:pPr>
        <w:jc w:val="both"/>
        <w:ind w:firstLine="656"/>
        <w:spacing w:after="0" w:line="241" w:lineRule="auto"/>
        <w:tabs>
          <w:tab w:leader="none" w:pos="1215"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54" w:lineRule="exact"/>
        <w:rPr>
          <w:rFonts w:ascii="Arial" w:cs="Arial" w:eastAsia="Arial" w:hAnsi="Arial"/>
          <w:sz w:val="20"/>
          <w:szCs w:val="20"/>
          <w:color w:val="auto"/>
        </w:rPr>
      </w:pPr>
    </w:p>
    <w:p>
      <w:pPr>
        <w:ind w:left="1100" w:hanging="444"/>
        <w:spacing w:after="0"/>
        <w:tabs>
          <w:tab w:leader="none" w:pos="110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As used in this section:</w:t>
      </w:r>
    </w:p>
    <w:p>
      <w:pPr>
        <w:spacing w:after="0" w:line="16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“Covered Entity” means any of the following:</w:t>
      </w:r>
    </w:p>
    <w:p>
      <w:pPr>
        <w:spacing w:after="0" w:line="162" w:lineRule="exact"/>
        <w:rPr>
          <w:sz w:val="20"/>
          <w:szCs w:val="20"/>
          <w:color w:val="auto"/>
        </w:rPr>
      </w:pPr>
    </w:p>
    <w:p>
      <w:pPr>
        <w:ind w:left="1540" w:hanging="236"/>
        <w:spacing w:after="0"/>
        <w:tabs>
          <w:tab w:leader="none" w:pos="15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61" w:lineRule="exact"/>
        <w:rPr>
          <w:rFonts w:ascii="Arial" w:cs="Arial" w:eastAsia="Arial" w:hAnsi="Arial"/>
          <w:sz w:val="20"/>
          <w:szCs w:val="20"/>
          <w:color w:val="auto"/>
        </w:rPr>
      </w:pPr>
    </w:p>
    <w:p>
      <w:pPr>
        <w:ind w:left="1580" w:hanging="276"/>
        <w:spacing w:after="0"/>
        <w:tabs>
          <w:tab w:leader="none" w:pos="158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32" w:right="339" w:bottom="1440" w:gutter="0" w:footer="0" w:header="0"/>
        </w:sectPr>
      </w:pPr>
    </w:p>
    <w:bookmarkStart w:id="278" w:name="page279"/>
    <w:bookmarkEnd w:id="278"/>
    <w:p>
      <w:pPr>
        <w:ind w:left="1300"/>
        <w:spacing w:after="0"/>
        <w:rPr>
          <w:sz w:val="20"/>
          <w:szCs w:val="20"/>
          <w:color w:val="auto"/>
        </w:rPr>
      </w:pPr>
      <w:r>
        <w:rPr>
          <w:rFonts w:ascii="Arial" w:cs="Arial" w:eastAsia="Arial" w:hAnsi="Arial"/>
          <w:sz w:val="20"/>
          <w:szCs w:val="20"/>
          <w:color w:val="auto"/>
        </w:rPr>
        <w:t>(iii) a “covered FSI” as that term is defined in, and interpreted in accordance with, 12 C.F.R. § 382.2(b).</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5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the Company and each of the Selling Stockholders. It is understood that your acceptance of this letter on behalf of each of the Underwriters is pursuant to the authority set forth in a form of Agreement among Underwriters, the form of which shall be submitted to the Company and each of the Selling Stockholders for examination upon request, but without warranty on your part as to the authority of the signers thereof.</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Any person executing and delivering this Agreement as Attorney in Fact for a Selling Stockholder represents by so doing that he or she has been duly appointed as Attorney in Fact by such Selling Stockholder pursuant to a validly existing and binding Power of Attorney that authorizes such Attorney in Fact to take such action.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32" w:right="339" w:bottom="1440" w:gutter="0" w:footer="0" w:header="0"/>
        </w:sectPr>
      </w:pPr>
    </w:p>
    <w:bookmarkStart w:id="279" w:name="page280"/>
    <w:bookmarkEnd w:id="279"/>
    <w:p>
      <w:pPr>
        <w:spacing w:after="0" w:line="4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Very truly yours,</w:t>
      </w:r>
    </w:p>
    <w:p>
      <w:pPr>
        <w:spacing w:after="0" w:line="270"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Privia Health Group, Inc.</w:t>
      </w:r>
    </w:p>
    <w:p>
      <w:pPr>
        <w:spacing w:after="0" w:line="270"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26670</wp:posOffset>
            </wp:positionV>
            <wp:extent cx="30861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Selling Stockholders, acting severally</w:t>
      </w:r>
    </w:p>
    <w:p>
      <w:pPr>
        <w:spacing w:after="0" w:line="270"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26670</wp:posOffset>
            </wp:positionV>
            <wp:extent cx="30861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9" w:lineRule="exact"/>
        <w:rPr>
          <w:sz w:val="20"/>
          <w:szCs w:val="20"/>
          <w:color w:val="auto"/>
        </w:rPr>
      </w:pPr>
    </w:p>
    <w:p>
      <w:pPr>
        <w:ind w:left="5280"/>
        <w:spacing w:after="0"/>
        <w:tabs>
          <w:tab w:leader="none" w:pos="62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Thomas Bartrum</w:t>
      </w:r>
    </w:p>
    <w:p>
      <w:pPr>
        <w:spacing w:after="0" w:line="54" w:lineRule="exact"/>
        <w:rPr>
          <w:sz w:val="20"/>
          <w:szCs w:val="20"/>
          <w:color w:val="auto"/>
        </w:rPr>
      </w:pPr>
    </w:p>
    <w:p>
      <w:pPr>
        <w:ind w:left="4720" w:firstLine="405"/>
        <w:spacing w:after="0" w:line="246" w:lineRule="auto"/>
        <w:rPr>
          <w:sz w:val="20"/>
          <w:szCs w:val="20"/>
          <w:color w:val="auto"/>
        </w:rPr>
      </w:pPr>
      <w:r>
        <w:rPr>
          <w:rFonts w:ascii="Arial" w:cs="Arial" w:eastAsia="Arial" w:hAnsi="Arial"/>
          <w:sz w:val="20"/>
          <w:szCs w:val="20"/>
          <w:color w:val="auto"/>
        </w:rPr>
        <w:t>Title: As Attorney in Fact acting on behalf of each of the Selling Stockholders named in Schedule II to this Agreement</w:t>
      </w:r>
    </w:p>
    <w:p>
      <w:pPr>
        <w:sectPr>
          <w:pgSz w:w="11900" w:h="16838" w:orient="portrait"/>
          <w:cols w:equalWidth="0" w:num="1">
            <w:col w:w="10100"/>
          </w:cols>
          <w:pgMar w:left="1440" w:top="1440" w:right="359" w:bottom="1440" w:gutter="0" w:footer="0" w:header="0"/>
        </w:sectPr>
      </w:pPr>
    </w:p>
    <w:bookmarkStart w:id="280" w:name="page281"/>
    <w:bookmarkEnd w:id="280"/>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19050</wp:posOffset>
            </wp:positionV>
            <wp:extent cx="30175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J.P. Morgan Securities LLC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19050</wp:posOffset>
            </wp:positionV>
            <wp:extent cx="30175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On behalf of each of the Underwriters</w:t>
      </w:r>
    </w:p>
    <w:p>
      <w:pPr>
        <w:sectPr>
          <w:pgSz w:w="11900" w:h="16838" w:orient="portrait"/>
          <w:cols w:equalWidth="0" w:num="1">
            <w:col w:w="10119"/>
          </w:cols>
          <w:pgMar w:left="340" w:top="1440" w:right="1440" w:bottom="1440" w:gutter="0" w:footer="0" w:header="0"/>
        </w:sectPr>
      </w:pPr>
    </w:p>
    <w:bookmarkStart w:id="281" w:name="page282"/>
    <w:bookmarkEnd w:id="281"/>
    <w:tbl>
      <w:tblPr>
        <w:tblLayout w:type="fixed"/>
        <w:tblInd w:w="2740" w:type="dxa"/>
        <w:tblCellMar>
          <w:top w:w="0" w:type="dxa"/>
          <w:left w:w="0" w:type="dxa"/>
          <w:bottom w:w="0" w:type="dxa"/>
          <w:right w:w="0" w:type="dxa"/>
        </w:tblCellMar>
      </w:tblPr>
      <w:tr>
        <w:trPr>
          <w:trHeight w:val="261"/>
        </w:trPr>
        <w:tc>
          <w:tcPr>
            <w:tcW w:w="1120" w:type="dxa"/>
            <w:vAlign w:val="bottom"/>
          </w:tcPr>
          <w:p>
            <w:pPr>
              <w:spacing w:after="0"/>
              <w:rPr>
                <w:sz w:val="22"/>
                <w:szCs w:val="22"/>
                <w:color w:val="auto"/>
              </w:rPr>
            </w:pPr>
          </w:p>
        </w:tc>
        <w:tc>
          <w:tcPr>
            <w:tcW w:w="5460" w:type="dxa"/>
            <w:vAlign w:val="bottom"/>
            <w:gridSpan w:val="3"/>
          </w:tcPr>
          <w:p>
            <w:pPr>
              <w:ind w:left="1140"/>
              <w:spacing w:after="0"/>
              <w:rPr>
                <w:sz w:val="20"/>
                <w:szCs w:val="20"/>
                <w:color w:val="auto"/>
              </w:rPr>
            </w:pPr>
            <w:r>
              <w:rPr>
                <w:rFonts w:ascii="Arial" w:cs="Arial" w:eastAsia="Arial" w:hAnsi="Arial"/>
                <w:sz w:val="20"/>
                <w:szCs w:val="20"/>
                <w:b w:val="1"/>
                <w:bCs w:val="1"/>
                <w:color w:val="auto"/>
              </w:rPr>
              <w:t>SCHEDULE I</w:t>
            </w: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14"/>
        </w:trPr>
        <w:tc>
          <w:tcPr>
            <w:tcW w:w="1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center"/>
              <w:ind w:left="81"/>
              <w:spacing w:after="0"/>
              <w:rPr>
                <w:sz w:val="20"/>
                <w:szCs w:val="20"/>
                <w:color w:val="auto"/>
              </w:rPr>
            </w:pPr>
            <w:r>
              <w:rPr>
                <w:rFonts w:ascii="Arial" w:cs="Arial" w:eastAsia="Arial" w:hAnsi="Arial"/>
                <w:sz w:val="20"/>
                <w:szCs w:val="20"/>
                <w:b w:val="1"/>
                <w:bCs w:val="1"/>
                <w:color w:val="auto"/>
                <w:w w:val="99"/>
              </w:rPr>
              <w:t>Number of</w:t>
            </w:r>
          </w:p>
        </w:tc>
      </w:tr>
      <w:tr>
        <w:trPr>
          <w:trHeight w:val="230"/>
        </w:trPr>
        <w:tc>
          <w:tcPr>
            <w:tcW w:w="1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center"/>
              <w:ind w:left="81"/>
              <w:spacing w:after="0"/>
              <w:rPr>
                <w:sz w:val="20"/>
                <w:szCs w:val="20"/>
                <w:color w:val="auto"/>
              </w:rPr>
            </w:pPr>
            <w:r>
              <w:rPr>
                <w:rFonts w:ascii="Arial" w:cs="Arial" w:eastAsia="Arial" w:hAnsi="Arial"/>
                <w:sz w:val="20"/>
                <w:szCs w:val="20"/>
                <w:b w:val="1"/>
                <w:bCs w:val="1"/>
                <w:color w:val="auto"/>
                <w:w w:val="99"/>
              </w:rPr>
              <w:t>Optional Shares</w:t>
            </w:r>
          </w:p>
        </w:tc>
      </w:tr>
      <w:tr>
        <w:trPr>
          <w:trHeight w:val="229"/>
        </w:trPr>
        <w:tc>
          <w:tcPr>
            <w:tcW w:w="1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center"/>
              <w:ind w:left="101"/>
              <w:spacing w:after="0"/>
              <w:rPr>
                <w:sz w:val="20"/>
                <w:szCs w:val="20"/>
                <w:color w:val="auto"/>
              </w:rPr>
            </w:pPr>
            <w:r>
              <w:rPr>
                <w:rFonts w:ascii="Arial" w:cs="Arial" w:eastAsia="Arial" w:hAnsi="Arial"/>
                <w:sz w:val="20"/>
                <w:szCs w:val="20"/>
                <w:b w:val="1"/>
                <w:bCs w:val="1"/>
                <w:color w:val="auto"/>
                <w:w w:val="98"/>
              </w:rPr>
              <w:t>to be Purchased</w:t>
            </w:r>
          </w:p>
        </w:tc>
      </w:tr>
      <w:tr>
        <w:trPr>
          <w:trHeight w:val="229"/>
        </w:trPr>
        <w:tc>
          <w:tcPr>
            <w:tcW w:w="1120" w:type="dxa"/>
            <w:vAlign w:val="bottom"/>
          </w:tcPr>
          <w:p>
            <w:pPr>
              <w:spacing w:after="0"/>
              <w:rPr>
                <w:sz w:val="19"/>
                <w:szCs w:val="19"/>
                <w:color w:val="auto"/>
              </w:rPr>
            </w:pPr>
          </w:p>
        </w:tc>
        <w:tc>
          <w:tcPr>
            <w:tcW w:w="5460" w:type="dxa"/>
            <w:vAlign w:val="bottom"/>
            <w:gridSpan w:val="3"/>
          </w:tcPr>
          <w:p>
            <w:pPr>
              <w:jc w:val="center"/>
              <w:ind w:left="2761"/>
              <w:spacing w:after="0"/>
              <w:rPr>
                <w:sz w:val="20"/>
                <w:szCs w:val="20"/>
                <w:color w:val="auto"/>
              </w:rPr>
            </w:pPr>
            <w:r>
              <w:rPr>
                <w:rFonts w:ascii="Arial" w:cs="Arial" w:eastAsia="Arial" w:hAnsi="Arial"/>
                <w:sz w:val="20"/>
                <w:szCs w:val="20"/>
                <w:b w:val="1"/>
                <w:bCs w:val="1"/>
                <w:color w:val="auto"/>
                <w:w w:val="98"/>
              </w:rPr>
              <w:t>Total Number of Firm</w:t>
            </w:r>
          </w:p>
        </w:tc>
        <w:tc>
          <w:tcPr>
            <w:tcW w:w="1820" w:type="dxa"/>
            <w:vAlign w:val="bottom"/>
            <w:gridSpan w:val="2"/>
          </w:tcPr>
          <w:p>
            <w:pPr>
              <w:jc w:val="center"/>
              <w:ind w:left="81"/>
              <w:spacing w:after="0"/>
              <w:rPr>
                <w:sz w:val="20"/>
                <w:szCs w:val="20"/>
                <w:color w:val="auto"/>
              </w:rPr>
            </w:pPr>
            <w:r>
              <w:rPr>
                <w:rFonts w:ascii="Arial" w:cs="Arial" w:eastAsia="Arial" w:hAnsi="Arial"/>
                <w:sz w:val="20"/>
                <w:szCs w:val="20"/>
                <w:b w:val="1"/>
                <w:bCs w:val="1"/>
                <w:color w:val="auto"/>
                <w:w w:val="98"/>
              </w:rPr>
              <w:t>if Maximum</w:t>
            </w:r>
          </w:p>
        </w:tc>
      </w:tr>
      <w:tr>
        <w:trPr>
          <w:trHeight w:val="217"/>
        </w:trPr>
        <w:tc>
          <w:tcPr>
            <w:tcW w:w="1120" w:type="dxa"/>
            <w:vAlign w:val="bottom"/>
          </w:tcPr>
          <w:p>
            <w:pPr>
              <w:spacing w:after="0" w:line="217" w:lineRule="exact"/>
              <w:rPr>
                <w:sz w:val="20"/>
                <w:szCs w:val="20"/>
                <w:color w:val="auto"/>
              </w:rPr>
            </w:pPr>
            <w:r>
              <w:rPr>
                <w:rFonts w:ascii="Arial" w:cs="Arial" w:eastAsia="Arial" w:hAnsi="Arial"/>
                <w:sz w:val="20"/>
                <w:szCs w:val="20"/>
                <w:b w:val="1"/>
                <w:bCs w:val="1"/>
                <w:color w:val="auto"/>
                <w:w w:val="97"/>
              </w:rPr>
              <w:t>Underwriter</w:t>
            </w:r>
          </w:p>
        </w:tc>
        <w:tc>
          <w:tcPr>
            <w:tcW w:w="5460" w:type="dxa"/>
            <w:vAlign w:val="bottom"/>
            <w:gridSpan w:val="3"/>
          </w:tcPr>
          <w:p>
            <w:pPr>
              <w:jc w:val="center"/>
              <w:ind w:left="2761"/>
              <w:spacing w:after="0" w:line="217" w:lineRule="exact"/>
              <w:rPr>
                <w:sz w:val="20"/>
                <w:szCs w:val="20"/>
                <w:color w:val="auto"/>
              </w:rPr>
            </w:pPr>
            <w:r>
              <w:rPr>
                <w:rFonts w:ascii="Arial" w:cs="Arial" w:eastAsia="Arial" w:hAnsi="Arial"/>
                <w:sz w:val="20"/>
                <w:szCs w:val="20"/>
                <w:b w:val="1"/>
                <w:bCs w:val="1"/>
                <w:color w:val="auto"/>
                <w:w w:val="98"/>
              </w:rPr>
              <w:t>Shares to be Purchased</w:t>
            </w:r>
          </w:p>
        </w:tc>
        <w:tc>
          <w:tcPr>
            <w:tcW w:w="1820" w:type="dxa"/>
            <w:vAlign w:val="bottom"/>
            <w:gridSpan w:val="2"/>
          </w:tcPr>
          <w:p>
            <w:pPr>
              <w:jc w:val="center"/>
              <w:ind w:left="81"/>
              <w:spacing w:after="0" w:line="217" w:lineRule="exact"/>
              <w:rPr>
                <w:sz w:val="20"/>
                <w:szCs w:val="20"/>
                <w:color w:val="auto"/>
              </w:rPr>
            </w:pPr>
            <w:r>
              <w:rPr>
                <w:rFonts w:ascii="Arial" w:cs="Arial" w:eastAsia="Arial" w:hAnsi="Arial"/>
                <w:sz w:val="20"/>
                <w:szCs w:val="20"/>
                <w:b w:val="1"/>
                <w:bCs w:val="1"/>
                <w:color w:val="auto"/>
                <w:w w:val="99"/>
              </w:rPr>
              <w:t>Option Exercised</w:t>
            </w:r>
          </w:p>
        </w:tc>
      </w:tr>
      <w:tr>
        <w:trPr>
          <w:trHeight w:val="20"/>
        </w:trPr>
        <w:tc>
          <w:tcPr>
            <w:tcW w:w="11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1562100</wp:posOffset>
            </wp:positionV>
            <wp:extent cx="28632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1905</wp:posOffset>
            </wp:positionV>
            <wp:extent cx="2863215"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2863215" cy="34290"/>
                    </a:xfrm>
                    <a:prstGeom prst="rect">
                      <a:avLst/>
                    </a:prstGeom>
                    <a:noFill/>
                  </pic:spPr>
                </pic:pic>
              </a:graphicData>
            </a:graphic>
          </wp:anchor>
        </w:drawing>
      </w:r>
    </w:p>
    <w:p>
      <w:pPr>
        <w:sectPr>
          <w:pgSz w:w="11900" w:h="16838" w:orient="portrait"/>
          <w:cols w:equalWidth="0" w:num="1">
            <w:col w:w="11140"/>
          </w:cols>
          <w:pgMar w:left="340" w:top="1408" w:right="419" w:bottom="1440" w:gutter="0" w:footer="0" w:header="0"/>
        </w:sectPr>
      </w:pPr>
    </w:p>
    <w:bookmarkStart w:id="282" w:name="page283"/>
    <w:bookmarkEnd w:id="282"/>
    <w:p>
      <w:pPr>
        <w:jc w:val="center"/>
        <w:spacing w:after="0"/>
        <w:rPr>
          <w:sz w:val="20"/>
          <w:szCs w:val="20"/>
          <w:color w:val="auto"/>
        </w:rPr>
      </w:pPr>
      <w:r>
        <w:rPr>
          <w:rFonts w:ascii="Arial" w:cs="Arial" w:eastAsia="Arial" w:hAnsi="Arial"/>
          <w:sz w:val="20"/>
          <w:szCs w:val="20"/>
          <w:b w:val="1"/>
          <w:bCs w:val="1"/>
          <w:color w:val="auto"/>
        </w:rPr>
        <w:t>SCHEDULE II</w:t>
      </w:r>
    </w:p>
    <w:p>
      <w:pPr>
        <w:spacing w:after="0" w:line="216" w:lineRule="exact"/>
        <w:rPr>
          <w:sz w:val="20"/>
          <w:szCs w:val="20"/>
          <w:color w:val="auto"/>
        </w:rPr>
      </w:pPr>
    </w:p>
    <w:p>
      <w:pPr>
        <w:ind w:left="1780"/>
        <w:spacing w:after="0"/>
        <w:tabs>
          <w:tab w:leader="none" w:pos="7080" w:val="left"/>
        </w:tabs>
        <w:rPr>
          <w:sz w:val="20"/>
          <w:szCs w:val="20"/>
          <w:color w:val="auto"/>
        </w:rPr>
      </w:pPr>
      <w:r>
        <w:rPr>
          <w:rFonts w:ascii="Arial" w:cs="Arial" w:eastAsia="Arial" w:hAnsi="Arial"/>
          <w:sz w:val="20"/>
          <w:szCs w:val="20"/>
          <w:b w:val="1"/>
          <w:bCs w:val="1"/>
          <w:u w:val="single" w:color="auto"/>
          <w:color w:val="auto"/>
        </w:rPr>
        <w:t>The Selling Stockholder(s):</w:t>
      </w:r>
      <w:r>
        <w:rPr>
          <w:sz w:val="20"/>
          <w:szCs w:val="20"/>
          <w:color w:val="auto"/>
        </w:rPr>
        <w:tab/>
      </w:r>
      <w:r>
        <w:rPr>
          <w:rFonts w:ascii="Arial" w:cs="Arial" w:eastAsia="Arial" w:hAnsi="Arial"/>
          <w:sz w:val="19"/>
          <w:szCs w:val="19"/>
          <w:b w:val="1"/>
          <w:bCs w:val="1"/>
          <w:u w:val="single" w:color="auto"/>
          <w:color w:val="auto"/>
        </w:rPr>
        <w:t>Total Number of Shares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582930</wp:posOffset>
            </wp:positionV>
            <wp:extent cx="31972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139065</wp:posOffset>
            </wp:positionV>
            <wp:extent cx="31972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165100</wp:posOffset>
            </wp:positionV>
            <wp:extent cx="31972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All Selling Stockholders have appointed Thomas Bartrum and Anita Beth Adams, and each of them, as the Attorneys-in-Fact for such Selling Stockholder.</w:t>
      </w:r>
    </w:p>
    <w:p>
      <w:pPr>
        <w:sectPr>
          <w:pgSz w:w="11900" w:h="16838" w:orient="portrait"/>
          <w:cols w:equalWidth="0" w:num="1">
            <w:col w:w="11240"/>
          </w:cols>
          <w:pgMar w:left="320" w:top="1408" w:right="339" w:bottom="1440" w:gutter="0" w:footer="0" w:header="0"/>
        </w:sectPr>
      </w:pPr>
    </w:p>
    <w:bookmarkStart w:id="283" w:name="page284"/>
    <w:bookmarkEnd w:id="283"/>
    <w:p>
      <w:pPr>
        <w:ind w:left="4952"/>
        <w:spacing w:after="0"/>
        <w:rPr>
          <w:sz w:val="20"/>
          <w:szCs w:val="20"/>
          <w:color w:val="auto"/>
        </w:rPr>
      </w:pPr>
      <w:r>
        <w:rPr>
          <w:rFonts w:ascii="Arial" w:cs="Arial" w:eastAsia="Arial" w:hAnsi="Arial"/>
          <w:sz w:val="20"/>
          <w:szCs w:val="20"/>
          <w:b w:val="1"/>
          <w:bCs w:val="1"/>
          <w:color w:val="auto"/>
        </w:rPr>
        <w:t>SCHEDULE III</w:t>
      </w:r>
    </w:p>
    <w:p>
      <w:pPr>
        <w:spacing w:after="0" w:line="186" w:lineRule="exact"/>
        <w:rPr>
          <w:sz w:val="20"/>
          <w:szCs w:val="20"/>
          <w:color w:val="auto"/>
        </w:rPr>
      </w:pPr>
    </w:p>
    <w:p>
      <w:pPr>
        <w:ind w:left="972" w:right="2739" w:hanging="972"/>
        <w:spacing w:after="0" w:line="408" w:lineRule="auto"/>
        <w:tabs>
          <w:tab w:leader="none" w:pos="297"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Issuer Free Writing Prospectuses not included in the Pricing Disclosure Package: [•]</w:t>
      </w:r>
    </w:p>
    <w:p>
      <w:pPr>
        <w:spacing w:after="0" w:line="1" w:lineRule="exact"/>
        <w:rPr>
          <w:rFonts w:ascii="Arial" w:cs="Arial" w:eastAsia="Arial" w:hAnsi="Arial"/>
          <w:sz w:val="20"/>
          <w:szCs w:val="20"/>
          <w:color w:val="auto"/>
        </w:rPr>
      </w:pPr>
    </w:p>
    <w:p>
      <w:pPr>
        <w:ind w:left="292" w:hanging="292"/>
        <w:spacing w:after="0"/>
        <w:tabs>
          <w:tab w:leader="none" w:pos="29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Additional Documents Incorporated by Reference:</w:t>
      </w:r>
    </w:p>
    <w:p>
      <w:pPr>
        <w:spacing w:after="0" w:line="162" w:lineRule="exact"/>
        <w:rPr>
          <w:sz w:val="20"/>
          <w:szCs w:val="20"/>
          <w:color w:val="auto"/>
        </w:rPr>
      </w:pPr>
    </w:p>
    <w:p>
      <w:pPr>
        <w:ind w:left="972"/>
        <w:spacing w:after="0"/>
        <w:rPr>
          <w:sz w:val="20"/>
          <w:szCs w:val="20"/>
          <w:color w:val="auto"/>
        </w:rPr>
      </w:pPr>
      <w:r>
        <w:rPr>
          <w:rFonts w:ascii="Arial" w:cs="Arial" w:eastAsia="Arial" w:hAnsi="Arial"/>
          <w:sz w:val="20"/>
          <w:szCs w:val="20"/>
          <w:color w:val="auto"/>
        </w:rPr>
        <w:t>None</w:t>
      </w:r>
    </w:p>
    <w:p>
      <w:pPr>
        <w:spacing w:after="0" w:line="162" w:lineRule="exact"/>
        <w:rPr>
          <w:sz w:val="20"/>
          <w:szCs w:val="20"/>
          <w:color w:val="auto"/>
        </w:rPr>
      </w:pPr>
    </w:p>
    <w:p>
      <w:pPr>
        <w:ind w:left="972" w:right="1779" w:hanging="972"/>
        <w:spacing w:after="0" w:line="239" w:lineRule="auto"/>
        <w:tabs>
          <w:tab w:leader="none" w:pos="28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Information other than the Pricing Prospectus that comprise the Pricing Disclosure Package: The public offering price per share for the Shares is $[•]</w:t>
      </w:r>
    </w:p>
    <w:p>
      <w:pPr>
        <w:ind w:left="972"/>
        <w:spacing w:after="0"/>
        <w:rPr>
          <w:rFonts w:ascii="Arial" w:cs="Arial" w:eastAsia="Arial" w:hAnsi="Arial"/>
          <w:sz w:val="20"/>
          <w:szCs w:val="20"/>
          <w:color w:val="auto"/>
        </w:rPr>
      </w:pPr>
      <w:r>
        <w:rPr>
          <w:rFonts w:ascii="Arial" w:cs="Arial" w:eastAsia="Arial" w:hAnsi="Arial"/>
          <w:sz w:val="20"/>
          <w:szCs w:val="20"/>
          <w:color w:val="auto"/>
        </w:rPr>
        <w:t>The number of Shares purchased by the Underwriters is [•]</w:t>
      </w:r>
    </w:p>
    <w:p>
      <w:pPr>
        <w:spacing w:after="0" w:line="161" w:lineRule="exact"/>
        <w:rPr>
          <w:rFonts w:ascii="Arial" w:cs="Arial" w:eastAsia="Arial" w:hAnsi="Arial"/>
          <w:sz w:val="20"/>
          <w:szCs w:val="20"/>
          <w:color w:val="auto"/>
        </w:rPr>
      </w:pPr>
    </w:p>
    <w:p>
      <w:pPr>
        <w:ind w:left="292" w:hanging="292"/>
        <w:spacing w:after="0"/>
        <w:tabs>
          <w:tab w:leader="none" w:pos="292" w:val="left"/>
        </w:tabs>
        <w:numPr>
          <w:ilvl w:val="0"/>
          <w:numId w:val="215"/>
        </w:numPr>
        <w:rPr>
          <w:rFonts w:ascii="Arial" w:cs="Arial" w:eastAsia="Arial" w:hAnsi="Arial"/>
          <w:sz w:val="20"/>
          <w:szCs w:val="20"/>
          <w:color w:val="auto"/>
        </w:rPr>
      </w:pPr>
      <w:r>
        <w:rPr>
          <w:rFonts w:ascii="Arial" w:cs="Arial" w:eastAsia="Arial" w:hAnsi="Arial"/>
          <w:sz w:val="20"/>
          <w:szCs w:val="20"/>
          <w:color w:val="auto"/>
        </w:rPr>
        <w:t>Written Testing-the-Waters Communications:</w:t>
      </w:r>
    </w:p>
    <w:p>
      <w:pPr>
        <w:ind w:left="972"/>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131"/>
          </w:cols>
          <w:pgMar w:left="328" w:top="1408"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20"/>
          <w:szCs w:val="20"/>
          <w:b w:val="1"/>
          <w:bCs w:val="1"/>
          <w:color w:val="auto"/>
        </w:rPr>
        <w:t>Privia Health Group, Inc.</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Lock-Up Agreement</w:t>
      </w:r>
    </w:p>
    <w:p>
      <w:pPr>
        <w:spacing w:after="0" w:line="391"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_____________,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rPr>
          <w:sz w:val="20"/>
          <w:szCs w:val="20"/>
          <w:color w:val="auto"/>
        </w:rPr>
      </w:pPr>
      <w:r>
        <w:rPr>
          <w:rFonts w:ascii="Arial" w:cs="Arial" w:eastAsia="Arial" w:hAnsi="Arial"/>
          <w:sz w:val="20"/>
          <w:szCs w:val="20"/>
          <w:color w:val="auto"/>
        </w:rPr>
        <w:t>J.P. Morgan Securities LLC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c/o Goldman Sachs &amp; Co. LLC</w:t>
      </w:r>
    </w:p>
    <w:p>
      <w:pPr>
        <w:spacing w:after="0" w:line="225" w:lineRule="auto"/>
        <w:rPr>
          <w:sz w:val="20"/>
          <w:szCs w:val="20"/>
          <w:color w:val="auto"/>
        </w:rPr>
      </w:pPr>
      <w:r>
        <w:rPr>
          <w:rFonts w:ascii="Arial" w:cs="Arial" w:eastAsia="Arial" w:hAnsi="Arial"/>
          <w:sz w:val="20"/>
          <w:szCs w:val="20"/>
          <w:color w:val="auto"/>
        </w:rPr>
        <w:t>200 West Street</w:t>
      </w:r>
    </w:p>
    <w:p>
      <w:pPr>
        <w:spacing w:after="0"/>
        <w:rPr>
          <w:sz w:val="20"/>
          <w:szCs w:val="20"/>
          <w:color w:val="auto"/>
        </w:rPr>
      </w:pPr>
      <w:r>
        <w:rPr>
          <w:rFonts w:ascii="Arial" w:cs="Arial" w:eastAsia="Arial" w:hAnsi="Arial"/>
          <w:sz w:val="20"/>
          <w:szCs w:val="20"/>
          <w:color w:val="auto"/>
        </w:rPr>
        <w:t>New York, NY 10282-2198</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c/o J.P. Morgan Securities LLC</w:t>
      </w:r>
    </w:p>
    <w:p>
      <w:pPr>
        <w:spacing w:after="0" w:line="225" w:lineRule="auto"/>
        <w:rPr>
          <w:sz w:val="20"/>
          <w:szCs w:val="20"/>
          <w:color w:val="auto"/>
        </w:rPr>
      </w:pPr>
      <w:r>
        <w:rPr>
          <w:rFonts w:ascii="Arial" w:cs="Arial" w:eastAsia="Arial" w:hAnsi="Arial"/>
          <w:sz w:val="20"/>
          <w:szCs w:val="20"/>
          <w:color w:val="auto"/>
        </w:rPr>
        <w:t>383 Madison Avenue</w:t>
      </w:r>
    </w:p>
    <w:p>
      <w:pPr>
        <w:spacing w:after="0"/>
        <w:rPr>
          <w:sz w:val="20"/>
          <w:szCs w:val="20"/>
          <w:color w:val="auto"/>
        </w:rPr>
      </w:pPr>
      <w:r>
        <w:rPr>
          <w:rFonts w:ascii="Arial" w:cs="Arial" w:eastAsia="Arial" w:hAnsi="Arial"/>
          <w:sz w:val="20"/>
          <w:szCs w:val="20"/>
          <w:color w:val="auto"/>
        </w:rPr>
        <w:t>New York, NY 10179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Privia Health Group, Inc. - Lock-Up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Privia Health Group, Inc., a Delaware corporation (the “Company”) and the Selling Stockholders named in Schedule II to such agreement (the “Selling Stockholders”), providing for a public offering of common stock, par value $0.01 per share (the “Common Stock”), of the Company (the “Shares”) to be sold by the Selling Stockholders pursuant to a Registration Statement on Form S-1 (the “Registration Statement”) to be filed with the Securities and Exchange Commission (the “SEC”).</w:t>
      </w:r>
    </w:p>
    <w:p>
      <w:pPr>
        <w:spacing w:after="0" w:line="18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0"/>
          <w:szCs w:val="20"/>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90 days after the date set forth on the final prospectus used to sell the Shares (the “Lock-Up Period”), the undersigned shall not, and shall not cause or direct any of its affiliates to, (i) offer, sell, contract to sell, pledge, grant any option to purchase, lend or otherwise dispose of any shares of Common Stock or other equity securities of the Company, or any options or warrants to purchase any shares of Common Stock or other equity securities of the Company, or any securities convertible into, exchangeable for or that represent the right to receive shares of Common Stock or other equity securities of the Company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w:t>
      </w:r>
    </w:p>
    <w:p>
      <w:pPr>
        <w:sectPr>
          <w:pgSz w:w="11900" w:h="16838" w:orient="portrait"/>
          <w:cols w:equalWidth="0" w:num="1">
            <w:col w:w="11240"/>
          </w:cols>
          <w:pgMar w:left="320" w:top="1408" w:right="339" w:bottom="1440" w:gutter="0" w:footer="0" w:header="0"/>
        </w:sectPr>
      </w:pPr>
    </w:p>
    <w:bookmarkStart w:id="285" w:name="page286"/>
    <w:bookmarkEnd w:id="285"/>
    <w:p>
      <w:pPr>
        <w:jc w:val="both"/>
        <w:spacing w:after="0" w:line="227" w:lineRule="auto"/>
        <w:rPr>
          <w:sz w:val="20"/>
          <w:szCs w:val="20"/>
          <w:color w:val="auto"/>
        </w:rPr>
      </w:pPr>
      <w:r>
        <w:rPr>
          <w:rFonts w:ascii="Arial" w:cs="Arial" w:eastAsia="Arial" w:hAnsi="Arial"/>
          <w:sz w:val="20"/>
          <w:szCs w:val="20"/>
          <w:color w:val="auto"/>
        </w:rPr>
        <w:t>Common Stock or other equity securities of the Company or Derivative Instruments, whether any such transaction or arrangement (or instrument provided for thereunder) would be settled by delivery of Common Stock or other equity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currently, and has not caused or directed any of its affiliates to be or become,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offering.</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72" w:lineRule="exact"/>
        <w:rPr>
          <w:sz w:val="20"/>
          <w:szCs w:val="20"/>
          <w:color w:val="auto"/>
        </w:rPr>
      </w:pPr>
    </w:p>
    <w:p>
      <w:pPr>
        <w:jc w:val="both"/>
        <w:ind w:firstLine="325"/>
        <w:spacing w:after="0" w:line="236" w:lineRule="auto"/>
        <w:rPr>
          <w:sz w:val="20"/>
          <w:szCs w:val="20"/>
          <w:color w:val="auto"/>
        </w:rPr>
      </w:pPr>
      <w:r>
        <w:rPr>
          <w:rFonts w:ascii="Arial" w:cs="Arial" w:eastAsia="Arial" w:hAnsi="Arial"/>
          <w:sz w:val="20"/>
          <w:szCs w:val="20"/>
          <w:color w:val="auto"/>
        </w:rPr>
        <w:t>Notwithstanding the foregoing, the undersigned may transfer the undersigned’s shares of Common Stock or other equity securities of the Company or Derivative Instruments during the Lock-Up Period:</w:t>
      </w:r>
    </w:p>
    <w:p>
      <w:pPr>
        <w:spacing w:after="0" w:line="182" w:lineRule="exact"/>
        <w:rPr>
          <w:sz w:val="20"/>
          <w:szCs w:val="20"/>
          <w:color w:val="auto"/>
        </w:rPr>
      </w:pPr>
    </w:p>
    <w:p>
      <w:pPr>
        <w:ind w:left="400" w:hanging="392"/>
        <w:spacing w:after="0"/>
        <w:tabs>
          <w:tab w:leader="none" w:pos="4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if the Shares are to be sold by the undersigned pursuant to the Underwriting Agreement;</w:t>
      </w:r>
    </w:p>
    <w:p>
      <w:pPr>
        <w:spacing w:after="0" w:line="188" w:lineRule="exact"/>
        <w:rPr>
          <w:rFonts w:ascii="Arial" w:cs="Arial" w:eastAsia="Arial" w:hAnsi="Arial"/>
          <w:sz w:val="20"/>
          <w:szCs w:val="20"/>
          <w:color w:val="auto"/>
        </w:rPr>
      </w:pPr>
    </w:p>
    <w:p>
      <w:pPr>
        <w:ind w:left="660" w:hanging="652"/>
        <w:spacing w:after="0" w:line="229" w:lineRule="auto"/>
        <w:tabs>
          <w:tab w:leader="none" w:pos="49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as a bona fide gift or gifts, or as charitable contributions, provided that the donee or donees thereof agree to be bound in writing by the restrictions set forth herein, and provided further that no filing under Section 16(a) of the Exchange Act (other than a Form 5, which shall not be filed on or prior to the date that is 120 days after the date set forth on the final prospectus used to sell the Shares), reporting a reduction in beneficial ownership of shares of Common Stock, shall be required or shall be voluntarily made during the Lock-Up Period;</w:t>
      </w:r>
    </w:p>
    <w:p>
      <w:pPr>
        <w:spacing w:after="0" w:line="171" w:lineRule="exact"/>
        <w:rPr>
          <w:rFonts w:ascii="Arial" w:cs="Arial" w:eastAsia="Arial" w:hAnsi="Arial"/>
          <w:sz w:val="20"/>
          <w:szCs w:val="20"/>
          <w:color w:val="auto"/>
        </w:rPr>
      </w:pPr>
    </w:p>
    <w:p>
      <w:pPr>
        <w:ind w:left="660" w:hanging="652"/>
        <w:spacing w:after="0" w:line="229" w:lineRule="auto"/>
        <w:tabs>
          <w:tab w:leader="none" w:pos="527"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to any trust, partnership, limited liability company or any other entity for the direct or indirect benefit of the undersigned or the immediate family of the undersigned, provided that the trustee of the trust agrees to be bound in writing by the restrictions set forth herein, and provided further that no filing under Section 16(a) of the Exchange Act (other than a Form 5, which shall not be filed on or prior to the date that is 120 days after the date set forth on the final prospectus used to sell the Shares), reporting a reduction in beneficial ownership of shares of Common Stock, shall be required or shall be voluntarily made during the Lock-Up Period;</w:t>
      </w:r>
    </w:p>
    <w:p>
      <w:pPr>
        <w:spacing w:after="0" w:line="181" w:lineRule="exact"/>
        <w:rPr>
          <w:rFonts w:ascii="Arial" w:cs="Arial" w:eastAsia="Arial" w:hAnsi="Arial"/>
          <w:sz w:val="20"/>
          <w:szCs w:val="20"/>
          <w:color w:val="auto"/>
        </w:rPr>
      </w:pPr>
    </w:p>
    <w:p>
      <w:pPr>
        <w:ind w:left="660" w:hanging="652"/>
        <w:spacing w:after="0" w:line="229" w:lineRule="auto"/>
        <w:tabs>
          <w:tab w:leader="none" w:pos="522"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to any beneficiary of or estate of a beneficiary of the undersigned pursuant to a trust, will, other testamentary document or intestate succession or applicable laws of descent, provided that the beneficiary or the estate of a beneficiary thereof agrees to be bound in writing by the restrictions set forth herein, and provided further that any such transaction shall not involve a disposition for value and that no filing under Section 16(a) of the Exchange Act (other than a Form 5, which shall not be filed on or prior to the date that is 120 days after the date set forth on the final prospectus used to sell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2" w:right="339" w:bottom="1440" w:gutter="0" w:footer="0" w:header="0"/>
        </w:sectPr>
      </w:pPr>
    </w:p>
    <w:bookmarkStart w:id="286" w:name="page287"/>
    <w:bookmarkEnd w:id="286"/>
    <w:p>
      <w:pPr>
        <w:ind w:left="660"/>
        <w:spacing w:after="0" w:line="236" w:lineRule="auto"/>
        <w:rPr>
          <w:sz w:val="20"/>
          <w:szCs w:val="20"/>
          <w:color w:val="auto"/>
        </w:rPr>
      </w:pPr>
      <w:r>
        <w:rPr>
          <w:rFonts w:ascii="Arial" w:cs="Arial" w:eastAsia="Arial" w:hAnsi="Arial"/>
          <w:sz w:val="20"/>
          <w:szCs w:val="20"/>
          <w:color w:val="auto"/>
        </w:rPr>
        <w:t>reporting a reduction in beneficial ownership of shares of Common Stock, shall be required or shall be voluntarily made during the Lock-Up Period;</w:t>
      </w:r>
    </w:p>
    <w:p>
      <w:pPr>
        <w:spacing w:after="0" w:line="182" w:lineRule="exact"/>
        <w:rPr>
          <w:sz w:val="20"/>
          <w:szCs w:val="20"/>
          <w:color w:val="auto"/>
        </w:rPr>
      </w:pPr>
    </w:p>
    <w:p>
      <w:pPr>
        <w:jc w:val="both"/>
        <w:ind w:left="660" w:hanging="652"/>
        <w:spacing w:after="0" w:line="228" w:lineRule="auto"/>
        <w:tabs>
          <w:tab w:leader="none" w:pos="625"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to a partnership, limited liability company or other entity of which the undersigned and the immediate family of the undersigned are the legal and beneficial owner of all the outstanding equity securities or similar interests, provided that such partnership, limited liability company or other entity agrees to be bound in writing by the restrictions set forth herein, and provided further that no filing under Section 16(a) of the Exchange Act (other than a Form 5, which shall not be filed on or prior to the date that is 120 days after the date set forth on the final prospectus used to sell the Shares), reporting a reduction in beneficial ownership of shares of Common Stock, shall be required or shall be voluntarily made during the Lock-Up Period;</w:t>
      </w:r>
    </w:p>
    <w:p>
      <w:pPr>
        <w:spacing w:after="0" w:line="171" w:lineRule="exact"/>
        <w:rPr>
          <w:rFonts w:ascii="Arial" w:cs="Arial" w:eastAsia="Arial" w:hAnsi="Arial"/>
          <w:sz w:val="20"/>
          <w:szCs w:val="20"/>
          <w:color w:val="auto"/>
        </w:rPr>
      </w:pPr>
    </w:p>
    <w:p>
      <w:pPr>
        <w:jc w:val="both"/>
        <w:ind w:left="660" w:hanging="652"/>
        <w:spacing w:after="0" w:line="229" w:lineRule="auto"/>
        <w:tabs>
          <w:tab w:leader="none" w:pos="605" w:val="left"/>
        </w:tabs>
        <w:numPr>
          <w:ilvl w:val="0"/>
          <w:numId w:val="217"/>
        </w:numPr>
        <w:rPr>
          <w:rFonts w:ascii="Arial" w:cs="Arial" w:eastAsia="Arial" w:hAnsi="Arial"/>
          <w:sz w:val="20"/>
          <w:szCs w:val="20"/>
          <w:color w:val="auto"/>
        </w:rPr>
      </w:pPr>
      <w:r>
        <w:rPr>
          <w:rFonts w:ascii="Arial" w:cs="Arial" w:eastAsia="Arial" w:hAnsi="Arial"/>
          <w:sz w:val="20"/>
          <w:szCs w:val="20"/>
          <w:color w:val="auto"/>
        </w:rPr>
        <w:t>by operation of law, such as pursuant to a qualified domestic order of a court (including a divorce settlement, divorce decree or separation agreement) or regulatory agency, provided that the transferee or transferees thereof agree to be bound in writing by the restrictions set forth herein, and provided further that no filing under Section 16(a) of the Exchange Act (other than a Form 5, which shall not be filed on or prior to the date that is 120 days after the date set forth on the final prospectus used to sell the Shares), reporting a reduction in beneficial ownership of shares of Common Stock, shall be required or shall be voluntarily made during the Lock-Up Period;</w:t>
      </w:r>
    </w:p>
    <w:p>
      <w:pPr>
        <w:spacing w:after="0" w:line="181" w:lineRule="exact"/>
        <w:rPr>
          <w:rFonts w:ascii="Arial" w:cs="Arial" w:eastAsia="Arial" w:hAnsi="Arial"/>
          <w:sz w:val="20"/>
          <w:szCs w:val="20"/>
          <w:color w:val="auto"/>
        </w:rPr>
      </w:pPr>
    </w:p>
    <w:p>
      <w:pPr>
        <w:ind w:left="660" w:hanging="652"/>
        <w:spacing w:after="0" w:line="229" w:lineRule="auto"/>
        <w:tabs>
          <w:tab w:leader="none" w:pos="558" w:val="left"/>
        </w:tabs>
        <w:numPr>
          <w:ilvl w:val="0"/>
          <w:numId w:val="217"/>
        </w:numPr>
        <w:rPr>
          <w:rFonts w:ascii="Arial" w:cs="Arial" w:eastAsia="Arial" w:hAnsi="Arial"/>
          <w:sz w:val="20"/>
          <w:szCs w:val="20"/>
          <w:color w:val="auto"/>
        </w:rPr>
      </w:pPr>
      <w:r>
        <w:rPr>
          <w:rFonts w:ascii="Arial" w:cs="Arial" w:eastAsia="Arial" w:hAnsi="Arial"/>
          <w:sz w:val="20"/>
          <w:szCs w:val="20"/>
          <w:color w:val="auto"/>
        </w:rPr>
        <w:t>in transactions relating to shares of Common Stock in open market transactions after the completion of the public offering, provided that no filing under Section 16(a) of the Exchange Act (other than a Form 5, which shall not be filed on or prior to the date that is 120 days after the date set forth on the final prospectus used to sell the Shares), reporting a reduction in beneficial ownership of such shares of Common Stock, shall be required or shall be voluntarily made during the Lock-Up Period;</w:t>
      </w:r>
    </w:p>
    <w:p>
      <w:pPr>
        <w:spacing w:after="0" w:line="185" w:lineRule="exact"/>
        <w:rPr>
          <w:rFonts w:ascii="Arial" w:cs="Arial" w:eastAsia="Arial" w:hAnsi="Arial"/>
          <w:sz w:val="20"/>
          <w:szCs w:val="20"/>
          <w:color w:val="auto"/>
        </w:rPr>
      </w:pPr>
    </w:p>
    <w:p>
      <w:pPr>
        <w:jc w:val="both"/>
        <w:ind w:left="660" w:hanging="652"/>
        <w:spacing w:after="0" w:line="239" w:lineRule="auto"/>
        <w:tabs>
          <w:tab w:leader="none" w:pos="76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by (A) the exercise of stock options solely with cash granted pursuant to equity incentive plans described in the Registration Statement, and the receipt by the undersigned from the Company of shares of Common Stock upon such exercise; (B) transfers of shares of Common Stock to the Company upon the “net” or “cashless” exercise of stock options or other equity awards granted pursuant to equity incentive plans described in the Registration Statement; (C) transfers of shares of Common Stock of the Company for the primary purpose of satisfying any tax or other governmental withholding obligation with respect to any award of equity-based compensation granted pursuant to the Company’s equity incentive plans; or (D) forfeitures of shares of Common Stock to the Company to satisfy tax withholding requirements of the undersigned or the Company upon the vesting, during the Lock-Up Period, of equity based awards granted under equity incentive plans or pursuant to other stock purchase arrangements, in each case described in the Registration Statement; provided that, in each case, the underlying shares of Common Stock shall continue to be subject to the restrictions on transfer set forth in this Lock-Up Agreement, and provided further that, if required, any public report or filing under Section 16(a) of the Exchange Act shall indicate in the footnotes thereto the nature of the transaction;</w:t>
      </w:r>
    </w:p>
    <w:p>
      <w:pPr>
        <w:spacing w:after="0" w:line="170" w:lineRule="exact"/>
        <w:rPr>
          <w:rFonts w:ascii="Arial" w:cs="Arial" w:eastAsia="Arial" w:hAnsi="Arial"/>
          <w:sz w:val="19"/>
          <w:szCs w:val="19"/>
          <w:color w:val="auto"/>
        </w:rPr>
      </w:pPr>
    </w:p>
    <w:p>
      <w:pPr>
        <w:ind w:left="660" w:hanging="652"/>
        <w:spacing w:after="0" w:line="230" w:lineRule="auto"/>
        <w:tabs>
          <w:tab w:leader="none" w:pos="51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pursuant to a bona fide third-party tender offer, merger, consolidation or other similar transaction made to all holders of the Company’s capital stock after the consummation of the public offering, involving a change of control of the Company, or group of persons, shall become, after the closing of the transaction, the beneficial owner (as defined in Rules 13d-3 and 13d-5 of the Exchange Act) of more than 50% of total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32" w:right="339" w:bottom="1440" w:gutter="0" w:footer="0" w:header="0"/>
        </w:sectPr>
      </w:pPr>
    </w:p>
    <w:bookmarkStart w:id="287" w:name="page288"/>
    <w:bookmarkEnd w:id="287"/>
    <w:p>
      <w:pPr>
        <w:jc w:val="both"/>
        <w:ind w:left="660"/>
        <w:spacing w:after="0" w:line="232" w:lineRule="auto"/>
        <w:rPr>
          <w:sz w:val="20"/>
          <w:szCs w:val="20"/>
          <w:color w:val="auto"/>
        </w:rPr>
      </w:pPr>
      <w:r>
        <w:rPr>
          <w:rFonts w:ascii="Arial" w:cs="Arial" w:eastAsia="Arial" w:hAnsi="Arial"/>
          <w:sz w:val="20"/>
          <w:szCs w:val="20"/>
          <w:color w:val="auto"/>
        </w:rPr>
        <w:t>the voting securities of the Company), provided that in the event that such tender offer, merger, consolidation or other such transaction is not completed, the undersigned’s shares of Common Stock shall remain subject to the provisions of this Lock-Up Agreement;</w:t>
      </w:r>
    </w:p>
    <w:p>
      <w:pPr>
        <w:spacing w:after="0" w:line="184" w:lineRule="exact"/>
        <w:rPr>
          <w:sz w:val="20"/>
          <w:szCs w:val="20"/>
          <w:color w:val="auto"/>
        </w:rPr>
      </w:pPr>
    </w:p>
    <w:p>
      <w:pPr>
        <w:ind w:left="660" w:hanging="652"/>
        <w:spacing w:after="0" w:line="229" w:lineRule="auto"/>
        <w:tabs>
          <w:tab w:leader="none" w:pos="50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to the Company in connection with the repurchase by the Company from the undersigned of shares of Common Stock of the Company or Derivative Instruments pursuant to a repurchase right arising upon the termination of the undersigned’s employment with the Company; provided that such repurchase right is pursuant to contractual agreements with the Company; and provided further that, if required, any public report or filing under Section 16(a) of the Exchange Act shall indicate in the footnotes thereto the nature of the transaction;</w:t>
      </w:r>
    </w:p>
    <w:p>
      <w:pPr>
        <w:spacing w:after="0" w:line="171" w:lineRule="exact"/>
        <w:rPr>
          <w:rFonts w:ascii="Arial" w:cs="Arial" w:eastAsia="Arial" w:hAnsi="Arial"/>
          <w:sz w:val="20"/>
          <w:szCs w:val="20"/>
          <w:color w:val="auto"/>
        </w:rPr>
      </w:pPr>
    </w:p>
    <w:p>
      <w:pPr>
        <w:ind w:left="660" w:hanging="652"/>
        <w:spacing w:after="0" w:line="230" w:lineRule="auto"/>
        <w:tabs>
          <w:tab w:leader="none" w:pos="53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in connection with the establishment of a trading plan pursuant to Rule 10b5-1 under the Exchange Act for the transfer of shares of Common Stock; provided that (i) such plan does not provide for the transfer of Common Stock during the Lock-Up Period and (ii) no public announcement or filing under the Exchange Act shall be made by or on behalf of the undersigned or the Company regarding the establishment of such plan during the Lock-Up Period;</w:t>
      </w:r>
    </w:p>
    <w:p>
      <w:pPr>
        <w:spacing w:after="0" w:line="184" w:lineRule="exact"/>
        <w:rPr>
          <w:rFonts w:ascii="Arial" w:cs="Arial" w:eastAsia="Arial" w:hAnsi="Arial"/>
          <w:sz w:val="20"/>
          <w:szCs w:val="20"/>
          <w:color w:val="auto"/>
        </w:rPr>
      </w:pPr>
    </w:p>
    <w:p>
      <w:pPr>
        <w:jc w:val="both"/>
        <w:ind w:left="660" w:hanging="652"/>
        <w:spacing w:after="0" w:line="227" w:lineRule="auto"/>
        <w:tabs>
          <w:tab w:leader="none" w:pos="62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if the undersigned is a corporation, partnership, limited liability company or other business entity, by (A) distributions of shares of Common Stock or any Derivative Instrument to limited partners, general partners, members, stockholders holders of similar interests of the undersigned (or in each case its nominee or custodian) or to any investment holding company controlled or managed by the undersigned or (B) transfers of shares of Common Stock or any Derivative Instrument to affiliates (as defined in Rule 405 of the Securities Act of 1933, as amended) or other entities controlled or managed by the undersigned or any of its affiliates (other than the Company and its subsidiaries); provided that each distributee and transferee agrees to be bound in writing by the restrictions set forth herein, and provided further that no filing under Section 16(a) of the Exchange Act (other than a Form 5, which shall not be filed on or prior to the date that is 120 days after the date set forth on the final prospectus used to sell the Shares), reporting a reduction in beneficial ownership of shares of Common Stock, shall be required or shall be voluntarily made during the Lock-Up Period;</w:t>
      </w:r>
    </w:p>
    <w:p>
      <w:pPr>
        <w:spacing w:after="0" w:line="187" w:lineRule="exact"/>
        <w:rPr>
          <w:rFonts w:ascii="Arial" w:cs="Arial" w:eastAsia="Arial" w:hAnsi="Arial"/>
          <w:sz w:val="20"/>
          <w:szCs w:val="20"/>
          <w:color w:val="auto"/>
        </w:rPr>
      </w:pPr>
    </w:p>
    <w:p>
      <w:pPr>
        <w:jc w:val="both"/>
        <w:ind w:left="660" w:hanging="652"/>
        <w:spacing w:after="0" w:line="228" w:lineRule="auto"/>
        <w:tabs>
          <w:tab w:leader="none" w:pos="644"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in connection with the sale or other transfer of Common Stock made pursuant to a trading plan that complies with Rule 10b5-1 under the Exchange Act that has been entered into by the undersigned prior to the date of this Letter Agreement; provided that if the undersigned is required to make a filing under Section 16 of the Exchange Act reporting a reduction in the aggregate beneficial ownership of the undersigned's Shares during the Lock-Up Period, the undersigned shall clearly indicate in the footnotes thereto that the filing relates to the circumstances described in this clause (xiii), as the case may be, and no other public filing or announcement shall be required or shall be made voluntarily in connection with such transfer or other disposition; or</w:t>
      </w:r>
    </w:p>
    <w:p>
      <w:pPr>
        <w:spacing w:after="0" w:line="171" w:lineRule="exact"/>
        <w:rPr>
          <w:rFonts w:ascii="Arial" w:cs="Arial" w:eastAsia="Arial" w:hAnsi="Arial"/>
          <w:sz w:val="20"/>
          <w:szCs w:val="20"/>
          <w:color w:val="auto"/>
        </w:rPr>
      </w:pPr>
    </w:p>
    <w:p>
      <w:pPr>
        <w:ind w:left="600" w:hanging="592"/>
        <w:spacing w:after="0"/>
        <w:tabs>
          <w:tab w:leader="none" w:pos="6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with the prior written consent of the Representatives on behalf of the Underwriters.</w:t>
      </w:r>
    </w:p>
    <w:p>
      <w:pPr>
        <w:spacing w:after="0" w:line="189" w:lineRule="exact"/>
        <w:rPr>
          <w:sz w:val="20"/>
          <w:szCs w:val="20"/>
          <w:color w:val="auto"/>
        </w:rPr>
      </w:pPr>
    </w:p>
    <w:p>
      <w:pPr>
        <w:jc w:val="both"/>
        <w:ind w:firstLine="246"/>
        <w:spacing w:after="0" w:line="230" w:lineRule="auto"/>
        <w:rPr>
          <w:sz w:val="20"/>
          <w:szCs w:val="20"/>
          <w:color w:val="auto"/>
        </w:rPr>
      </w:pPr>
      <w:r>
        <w:rPr>
          <w:rFonts w:ascii="Arial" w:cs="Arial" w:eastAsia="Arial" w:hAnsi="Arial"/>
          <w:sz w:val="20"/>
          <w:szCs w:val="20"/>
          <w:color w:val="auto"/>
        </w:rPr>
        <w:t>For purposes of this Lock-Up Agreement, “immediate family” shall mean any relationship by blood, marriage or adoption, not more remote than first cousin and “change of control” shall mean any bona fide third-party tender offer, merger, consolidation or other similar transaction approved by the board of directors of the Company the result of which is that any “person” (as defined in Section 13(d)(3) of the Exchange Act), or group of persons, other than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2" w:right="339" w:bottom="1440" w:gutter="0" w:footer="0" w:header="0"/>
        </w:sectPr>
      </w:pPr>
    </w:p>
    <w:bookmarkStart w:id="288" w:name="page289"/>
    <w:bookmarkEnd w:id="288"/>
    <w:p>
      <w:pPr>
        <w:jc w:val="both"/>
        <w:spacing w:after="0" w:line="227" w:lineRule="auto"/>
        <w:rPr>
          <w:sz w:val="20"/>
          <w:szCs w:val="20"/>
          <w:color w:val="auto"/>
        </w:rPr>
      </w:pPr>
      <w:r>
        <w:rPr>
          <w:rFonts w:ascii="Arial" w:cs="Arial" w:eastAsia="Arial" w:hAnsi="Arial"/>
          <w:sz w:val="20"/>
          <w:szCs w:val="20"/>
          <w:color w:val="auto"/>
        </w:rPr>
        <w:t xml:space="preserve">shall become, after the closing of the transaction, the beneficial owner (as defined in Rules 13d-3 and 13d-5 of the Exchange Act) of more than 50% of total voting power of the voting stock of the Company. In addition, notwithstanding the foregoing, if the undersigned is a corporation, the corporation may transfer the capital stock of the Company to any wholly-owned subsidiary of such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any such case, it shall be a condition to the transfer that the transferee execute an agreement stating that the transferee is receiving and holding such capital stock subject to the provisions of this Lock-Up Agreement and there shall be no further transfer of such capital stock except in accordance with this Lock-Up Agreement, and provided further that any such transfer shall not involve a disposition for value. The undersigned now has, and, except as contemplated above, for the duration of this Lock-Up Agreement will have, good and marketable title to the undersigned’s shares of Common Stock or other equity securities of the Company, free and clear of all liens, encumbrances, and claims whatsoever. The undersigned also agrees and consents to the entry of stop transfer instructions with the Company’s transfer agent and registrar against the transfer of the undersigned’s shares of Common Stock or other equity securities of the Company except in compliance with the foregoing restrictions.</w:t>
      </w:r>
    </w:p>
    <w:p>
      <w:pPr>
        <w:spacing w:after="0" w:line="184" w:lineRule="exact"/>
        <w:rPr>
          <w:sz w:val="20"/>
          <w:szCs w:val="20"/>
          <w:color w:val="auto"/>
        </w:rPr>
      </w:pPr>
    </w:p>
    <w:p>
      <w:pPr>
        <w:jc w:val="both"/>
        <w:ind w:firstLine="281"/>
        <w:spacing w:after="0" w:line="230" w:lineRule="auto"/>
        <w:rPr>
          <w:sz w:val="20"/>
          <w:szCs w:val="20"/>
          <w:color w:val="auto"/>
        </w:rPr>
      </w:pPr>
      <w:r>
        <w:rPr>
          <w:rFonts w:ascii="Arial" w:cs="Arial" w:eastAsia="Arial" w:hAnsi="Arial"/>
          <w:sz w:val="20"/>
          <w:szCs w:val="20"/>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171" w:lineRule="exact"/>
        <w:rPr>
          <w:sz w:val="20"/>
          <w:szCs w:val="20"/>
          <w:color w:val="auto"/>
        </w:rPr>
      </w:pPr>
    </w:p>
    <w:p>
      <w:pPr>
        <w:jc w:val="both"/>
        <w:ind w:firstLine="225"/>
        <w:spacing w:after="0" w:line="230" w:lineRule="auto"/>
        <w:rPr>
          <w:sz w:val="20"/>
          <w:szCs w:val="20"/>
          <w:color w:val="auto"/>
        </w:rPr>
      </w:pPr>
      <w:r>
        <w:rPr>
          <w:rFonts w:ascii="Arial" w:cs="Arial" w:eastAsia="Arial" w:hAnsi="Arial"/>
          <w:sz w:val="20"/>
          <w:szCs w:val="20"/>
          <w:color w:val="auto"/>
        </w:rPr>
        <w:t>Notwithstanding anything herein to the contrary, Goldman Sachs &amp; Co. LLC and its affiliates, other than the undersigned, may engage in brokerage, investment advisory, financial advisory, anti-raid advisory, merger advisory, financing, asset management, trading, market making, arbitrage, principal investing and other similar activities conducted in the ordinary course of their affiliates’ business.</w:t>
      </w:r>
    </w:p>
    <w:p>
      <w:pPr>
        <w:spacing w:after="0" w:line="185" w:lineRule="exact"/>
        <w:rPr>
          <w:sz w:val="20"/>
          <w:szCs w:val="20"/>
          <w:color w:val="auto"/>
        </w:rPr>
      </w:pPr>
    </w:p>
    <w:p>
      <w:pPr>
        <w:jc w:val="both"/>
        <w:ind w:firstLine="429"/>
        <w:spacing w:after="0" w:line="232" w:lineRule="auto"/>
        <w:rPr>
          <w:sz w:val="20"/>
          <w:szCs w:val="20"/>
          <w:color w:val="auto"/>
        </w:rPr>
      </w:pPr>
      <w:r>
        <w:rPr>
          <w:rFonts w:ascii="Arial" w:cs="Arial" w:eastAsia="Arial" w:hAnsi="Arial"/>
          <w:sz w:val="20"/>
          <w:szCs w:val="20"/>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70" w:lineRule="exact"/>
        <w:rPr>
          <w:sz w:val="20"/>
          <w:szCs w:val="20"/>
          <w:color w:val="auto"/>
        </w:rPr>
      </w:pPr>
    </w:p>
    <w:p>
      <w:pPr>
        <w:jc w:val="both"/>
        <w:ind w:firstLine="322"/>
        <w:spacing w:after="0" w:line="219" w:lineRule="auto"/>
        <w:rPr>
          <w:sz w:val="20"/>
          <w:szCs w:val="20"/>
          <w:color w:val="auto"/>
        </w:rPr>
      </w:pPr>
      <w:r>
        <w:rPr>
          <w:rFonts w:ascii="Arial" w:cs="Arial" w:eastAsia="Arial" w:hAnsi="Arial"/>
          <w:sz w:val="20"/>
          <w:szCs w:val="20"/>
          <w:color w:val="auto"/>
        </w:rPr>
        <w:t>This Lock-Up Agreement will automatically terminate upon the earliest to occur, if any, of (a) the date that the Company advises the Representatives, in writing, prior to the execution of the Underwriting Agreement, that it has determined not to proceed with the public offering, (b) the date that the Representatives advise the Company, in writing, prior to the execution of the Underwriting Agreement, that the Underwriters have determined not to proceed with the public offering (c) the date of termination of the Underwriting Agreement if prior to the closing of the public offering, or (d) [December 31], 2021</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if the public offering of the Shares has not been completed by such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1714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hanging="72"/>
        <w:spacing w:after="0"/>
        <w:tabs>
          <w:tab w:leader="none" w:pos="80" w:val="left"/>
        </w:tabs>
        <w:numPr>
          <w:ilvl w:val="0"/>
          <w:numId w:val="2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Note to Underwriters: Please advise.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32" w:right="339" w:bottom="1440" w:gutter="0" w:footer="0" w:header="0"/>
        </w:sectPr>
      </w:pPr>
    </w:p>
    <w:bookmarkStart w:id="289" w:name="page290"/>
    <w:bookmarkEnd w:id="289"/>
    <w:p>
      <w:pPr>
        <w:spacing w:after="0" w:line="33"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Very truly yours,</w:t>
      </w:r>
    </w:p>
    <w:p>
      <w:pPr>
        <w:spacing w:after="0" w:line="31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374015</wp:posOffset>
            </wp:positionV>
            <wp:extent cx="445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Exact Name of Shareholder</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27305</wp:posOffset>
            </wp:positionV>
            <wp:extent cx="40119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3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Authorized Signature</w:t>
      </w:r>
    </w:p>
    <w:p>
      <w:pPr>
        <w:spacing w:after="0" w:line="31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374015</wp:posOffset>
            </wp:positionV>
            <wp:extent cx="4457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Exact Name of Shareholder</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27305</wp:posOffset>
            </wp:positionV>
            <wp:extent cx="40119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3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Authorized Signature</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27305</wp:posOffset>
            </wp:positionV>
            <wp:extent cx="38658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3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(Print full name)</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27305</wp:posOffset>
            </wp:positionV>
            <wp:extent cx="38658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34"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(Print full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Lock-Up Agreement]</w:t>
      </w:r>
    </w:p>
    <w:p>
      <w:pPr>
        <w:sectPr>
          <w:pgSz w:w="11900" w:h="16838" w:orient="portrait"/>
          <w:cols w:equalWidth="0" w:num="1">
            <w:col w:w="9019"/>
          </w:cols>
          <w:pgMar w:left="1440" w:top="1440"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5.1</w:t>
      </w:r>
    </w:p>
    <w:p>
      <w:pPr>
        <w:spacing w:after="0" w:line="275" w:lineRule="exact"/>
        <w:rPr>
          <w:sz w:val="20"/>
          <w:szCs w:val="20"/>
          <w:color w:val="auto"/>
        </w:rPr>
      </w:pPr>
    </w:p>
    <w:p>
      <w:pPr>
        <w:ind w:left="3120"/>
        <w:spacing w:after="0"/>
        <w:rPr>
          <w:sz w:val="20"/>
          <w:szCs w:val="20"/>
          <w:color w:val="auto"/>
        </w:rPr>
      </w:pPr>
      <w:r>
        <w:rPr>
          <w:rFonts w:ascii="Arial" w:cs="Arial" w:eastAsia="Arial" w:hAnsi="Arial"/>
          <w:sz w:val="13"/>
          <w:szCs w:val="13"/>
          <w:b w:val="1"/>
          <w:bCs w:val="1"/>
          <w:color w:val="8A86F2"/>
        </w:rPr>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-11430</wp:posOffset>
            </wp:positionV>
            <wp:extent cx="89154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891540" cy="171450"/>
                    </a:xfrm>
                    <a:prstGeom prst="rect">
                      <a:avLst/>
                    </a:prstGeom>
                    <a:noFill/>
                  </pic:spPr>
                </pic:pic>
              </a:graphicData>
            </a:graphic>
          </wp:anchor>
        </w:drawing>
      </w:r>
    </w:p>
    <w:p>
      <w:pPr>
        <w:ind w:left="3120"/>
        <w:spacing w:after="0"/>
        <w:rPr>
          <w:sz w:val="20"/>
          <w:szCs w:val="20"/>
          <w:color w:val="auto"/>
        </w:rPr>
      </w:pPr>
      <w:r>
        <w:rPr>
          <w:rFonts w:ascii="Arial" w:cs="Arial" w:eastAsia="Arial" w:hAnsi="Arial"/>
          <w:sz w:val="13"/>
          <w:szCs w:val="13"/>
          <w:b w:val="1"/>
          <w:bCs w:val="1"/>
          <w:color w:val="8A86F2"/>
        </w:rPr>
        <w:t>450 Lexington Avenue</w:t>
      </w:r>
    </w:p>
    <w:p>
      <w:pPr>
        <w:ind w:left="3120"/>
        <w:spacing w:after="0"/>
        <w:rPr>
          <w:sz w:val="20"/>
          <w:szCs w:val="20"/>
          <w:color w:val="auto"/>
        </w:rPr>
      </w:pPr>
      <w:r>
        <w:rPr>
          <w:rFonts w:ascii="Arial" w:cs="Arial" w:eastAsia="Arial" w:hAnsi="Arial"/>
          <w:sz w:val="13"/>
          <w:szCs w:val="13"/>
          <w:b w:val="1"/>
          <w:bCs w:val="1"/>
          <w:color w:val="8A86F2"/>
        </w:rPr>
        <w:t>New York, NY 10017</w:t>
      </w:r>
    </w:p>
    <w:p>
      <w:pPr>
        <w:ind w:left="3120"/>
        <w:spacing w:after="0"/>
        <w:rPr>
          <w:sz w:val="20"/>
          <w:szCs w:val="20"/>
          <w:color w:val="auto"/>
        </w:rPr>
      </w:pPr>
      <w:r>
        <w:rPr>
          <w:rFonts w:ascii="Arial" w:cs="Arial" w:eastAsia="Arial" w:hAnsi="Arial"/>
          <w:sz w:val="13"/>
          <w:szCs w:val="13"/>
          <w:b w:val="1"/>
          <w:bCs w:val="1"/>
          <w:color w:val="8A86F2"/>
        </w:rPr>
        <w:t>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Privia Health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950 N. Glebe Rd.,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Arlington, VA 22203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Privia Health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filed with the Securities and Exchange Commission a Registration Statement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8,625,000 shares of its common stock, par value $0.01 per share (the “</w:t>
      </w:r>
      <w:r>
        <w:rPr>
          <w:rFonts w:ascii="Arial" w:cs="Arial" w:eastAsia="Arial" w:hAnsi="Arial"/>
          <w:sz w:val="18"/>
          <w:szCs w:val="18"/>
          <w:b w:val="1"/>
          <w:bCs w:val="1"/>
          <w:color w:val="auto"/>
        </w:rPr>
        <w:t>Securities</w:t>
      </w:r>
      <w:r>
        <w:rPr>
          <w:rFonts w:ascii="Arial" w:cs="Arial" w:eastAsia="Arial" w:hAnsi="Arial"/>
          <w:sz w:val="18"/>
          <w:szCs w:val="18"/>
          <w:color w:val="auto"/>
        </w:rPr>
        <w:t>”), including 1,125,000 shares subject to the underwriters’ over-allotment option, as described in the Registration Statement.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Based upon the foregoing, we advise you that, in our opinion, when the price at which the Securities to be sold has been approved by or on behalf of the Board of Directors of the Company and when the Securities have been delivered against payment therefor in accordance with the terms of the Underwriting Agreement referred to in the prospectus which is a part of the Registration Statement, the Securities will be validly issued, fully paid and non-assessable.</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240"/>
          </w:cols>
          <w:pgMar w:left="320" w:top="121"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194" w:lineRule="exact"/>
        <w:rPr>
          <w:sz w:val="20"/>
          <w:szCs w:val="20"/>
          <w:color w:val="auto"/>
        </w:rPr>
      </w:pPr>
    </w:p>
    <w:p>
      <w:pPr>
        <w:ind w:right="200" w:firstLine="324"/>
        <w:spacing w:after="0" w:line="239"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0"/>
          <w:szCs w:val="20"/>
          <w:b w:val="1"/>
          <w:bCs w:val="1"/>
          <w:color w:val="auto"/>
        </w:rPr>
        <w:t>Amendment</w:t>
      </w:r>
      <w:r>
        <w:rPr>
          <w:rFonts w:ascii="Arial" w:cs="Arial" w:eastAsia="Arial" w:hAnsi="Arial"/>
          <w:sz w:val="20"/>
          <w:szCs w:val="20"/>
          <w:color w:val="auto"/>
        </w:rPr>
        <w:t>”), effective as of August 29, 2021, is made to that certain Registration Rights Agreement, dated as of May 2, 2021 (this “</w:t>
      </w:r>
      <w:r>
        <w:rPr>
          <w:rFonts w:ascii="Arial" w:cs="Arial" w:eastAsia="Arial" w:hAnsi="Arial"/>
          <w:sz w:val="20"/>
          <w:szCs w:val="20"/>
          <w:b w:val="1"/>
          <w:bCs w:val="1"/>
          <w:color w:val="auto"/>
        </w:rPr>
        <w:t>Agreement</w:t>
      </w:r>
      <w:r>
        <w:rPr>
          <w:rFonts w:ascii="Arial" w:cs="Arial" w:eastAsia="Arial" w:hAnsi="Arial"/>
          <w:sz w:val="20"/>
          <w:szCs w:val="20"/>
          <w:color w:val="auto"/>
        </w:rPr>
        <w:t>”), by and among Privia Health Group,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Brighton Health Group Holdings, LLC, and the parties listed on Schedule I thereto.</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W I T N E S S E T H:</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Company desires to revise Schedule I to the Agreement.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WHEREAS, Section 3.08 permits the Company and the requisite number of holders specified therein to amend the Agreement.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NOW, THEREFORE, the Agreement is hereby amended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Amendment</w:t>
      </w:r>
      <w:r>
        <w:rPr>
          <w:rFonts w:ascii="Arial" w:cs="Arial" w:eastAsia="Arial" w:hAnsi="Arial"/>
          <w:sz w:val="20"/>
          <w:szCs w:val="20"/>
          <w:color w:val="auto"/>
        </w:rPr>
        <w:t>. Schedule I to the Agreement is amended by the addition of the following text:</w:t>
      </w:r>
    </w:p>
    <w:p>
      <w:pPr>
        <w:spacing w:after="0" w:line="20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“14. Thomas Bartrum</w:t>
      </w:r>
    </w:p>
    <w:p>
      <w:pPr>
        <w:spacing w:after="0" w:line="202" w:lineRule="exact"/>
        <w:rPr>
          <w:sz w:val="20"/>
          <w:szCs w:val="20"/>
          <w:color w:val="auto"/>
        </w:rPr>
      </w:pPr>
    </w:p>
    <w:p>
      <w:pPr>
        <w:ind w:left="1360" w:hanging="299"/>
        <w:spacing w:after="0"/>
        <w:tabs>
          <w:tab w:leader="none" w:pos="1360" w:val="left"/>
        </w:tabs>
        <w:numPr>
          <w:ilvl w:val="1"/>
          <w:numId w:val="220"/>
        </w:numPr>
        <w:rPr>
          <w:rFonts w:ascii="Arial" w:cs="Arial" w:eastAsia="Arial" w:hAnsi="Arial"/>
          <w:sz w:val="20"/>
          <w:szCs w:val="20"/>
          <w:color w:val="auto"/>
        </w:rPr>
      </w:pPr>
      <w:r>
        <w:rPr>
          <w:rFonts w:ascii="Arial" w:cs="Arial" w:eastAsia="Arial" w:hAnsi="Arial"/>
          <w:sz w:val="20"/>
          <w:szCs w:val="20"/>
          <w:color w:val="auto"/>
        </w:rPr>
        <w:t>David Mountcastle”</w:t>
      </w:r>
    </w:p>
    <w:p>
      <w:pPr>
        <w:spacing w:after="0" w:line="202" w:lineRule="exact"/>
        <w:rPr>
          <w:rFonts w:ascii="Arial" w:cs="Arial" w:eastAsia="Arial" w:hAnsi="Arial"/>
          <w:sz w:val="20"/>
          <w:szCs w:val="20"/>
          <w:color w:val="auto"/>
        </w:rPr>
      </w:pPr>
    </w:p>
    <w:p>
      <w:pPr>
        <w:ind w:right="220" w:firstLine="324"/>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II. </w:t>
      </w:r>
      <w:r>
        <w:rPr>
          <w:rFonts w:ascii="Arial" w:cs="Arial" w:eastAsia="Arial" w:hAnsi="Arial"/>
          <w:sz w:val="20"/>
          <w:szCs w:val="20"/>
          <w:u w:val="single" w:color="auto"/>
          <w:color w:val="auto"/>
        </w:rPr>
        <w:t>No Other Modification</w:t>
      </w:r>
      <w:r>
        <w:rPr>
          <w:rFonts w:ascii="Arial" w:cs="Arial" w:eastAsia="Arial" w:hAnsi="Arial"/>
          <w:sz w:val="20"/>
          <w:szCs w:val="20"/>
          <w:color w:val="auto"/>
        </w:rPr>
        <w:t>. Except as modified and amended herein, all other terms and provisions of the Agreement will remain in full force and effect.</w:t>
      </w:r>
    </w:p>
    <w:p>
      <w:pPr>
        <w:spacing w:after="0" w:line="177" w:lineRule="exact"/>
        <w:rPr>
          <w:sz w:val="20"/>
          <w:szCs w:val="20"/>
          <w:color w:val="auto"/>
        </w:rPr>
      </w:pPr>
    </w:p>
    <w:p>
      <w:pPr>
        <w:ind w:right="220" w:firstLine="332"/>
        <w:spacing w:after="0" w:line="237" w:lineRule="auto"/>
        <w:tabs>
          <w:tab w:leader="none" w:pos="621"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Joinder</w:t>
      </w:r>
      <w:r>
        <w:rPr>
          <w:rFonts w:ascii="Arial" w:cs="Arial" w:eastAsia="Arial" w:hAnsi="Arial"/>
          <w:sz w:val="20"/>
          <w:szCs w:val="20"/>
          <w:color w:val="auto"/>
        </w:rPr>
        <w:t>. By executing this Amendment, each of Thomas Bartrum and David Mountcastle hereby agree, severally and not jointly, to become a party to, to be bound by, and to comply with the provisions of the Agreement as a Holder in the same manner as if each were an original signatory to the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page intentionally left blank. Signature page follows.</w:t>
      </w:r>
      <w:r>
        <w:rPr>
          <w:rFonts w:ascii="Arial" w:cs="Arial" w:eastAsia="Arial" w:hAnsi="Arial"/>
          <w:sz w:val="20"/>
          <w:szCs w:val="20"/>
          <w:color w:val="auto"/>
        </w:rPr>
        <w:t>]</w:t>
      </w:r>
    </w:p>
    <w:p>
      <w:pPr>
        <w:sectPr>
          <w:pgSz w:w="11900" w:h="16838" w:orient="portrait"/>
          <w:cols w:equalWidth="0" w:num="1">
            <w:col w:w="11240"/>
          </w:cols>
          <w:pgMar w:left="320" w:top="121" w:right="339" w:bottom="1440" w:gutter="0" w:footer="0" w:header="0"/>
        </w:sectPr>
      </w:pPr>
    </w:p>
    <w:bookmarkStart w:id="292" w:name="page293"/>
    <w:bookmarkEnd w:id="292"/>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written above.</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PRIVIA HEALTH GROUP, INC.</w:t>
      </w:r>
    </w:p>
    <w:p>
      <w:pPr>
        <w:spacing w:after="0" w:line="200" w:lineRule="exact"/>
        <w:rPr>
          <w:sz w:val="20"/>
          <w:szCs w:val="20"/>
          <w:color w:val="auto"/>
        </w:rPr>
      </w:pPr>
    </w:p>
    <w:p>
      <w:pPr>
        <w:spacing w:after="0" w:line="299"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20"/>
          <w:szCs w:val="20"/>
          <w:color w:val="auto"/>
        </w:rPr>
        <w:t>By:</w:t>
        <w:tab/>
        <w:t>/s/ Thomas Bartrum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10160</wp:posOffset>
            </wp:positionV>
            <wp:extent cx="305181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Name: Thomas Bartrum</w:t>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080"/>
          </w:cols>
          <w:pgMar w:left="640" w:top="1419" w:right="1179" w:bottom="1440" w:gutter="0" w:footer="0" w:header="0"/>
        </w:sectPr>
      </w:pPr>
    </w:p>
    <w:bookmarkStart w:id="293" w:name="page294"/>
    <w:bookmarkEnd w:id="293"/>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BROAD STREET PRINCIPAL INVESTMENTS, L.L.C.</w:t>
      </w:r>
    </w:p>
    <w:p>
      <w:pPr>
        <w:spacing w:after="0" w:line="283"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William Y.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William Y. Eng</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MBD 2013 HOLDINGS, L.P.</w:t>
      </w:r>
    </w:p>
    <w:p>
      <w:pPr>
        <w:spacing w:after="0" w:line="27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BY: MBD ADVISORS, L.L.C., ITS GENERAL PARTNER</w:t>
      </w:r>
    </w:p>
    <w:p>
      <w:pPr>
        <w:spacing w:after="0" w:line="281"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William Y.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William Y. Eng</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BRIDGE STREET 2013 HOLDINGS, L.P.</w:t>
      </w:r>
    </w:p>
    <w:p>
      <w:pPr>
        <w:spacing w:after="0" w:line="270" w:lineRule="exact"/>
        <w:rPr>
          <w:sz w:val="20"/>
          <w:szCs w:val="20"/>
          <w:color w:val="auto"/>
        </w:rPr>
      </w:pPr>
    </w:p>
    <w:p>
      <w:pPr>
        <w:ind w:left="4820"/>
        <w:spacing w:after="0" w:line="229" w:lineRule="auto"/>
        <w:rPr>
          <w:sz w:val="20"/>
          <w:szCs w:val="20"/>
          <w:color w:val="auto"/>
        </w:rPr>
      </w:pPr>
      <w:r>
        <w:rPr>
          <w:rFonts w:ascii="Arial" w:cs="Arial" w:eastAsia="Arial" w:hAnsi="Arial"/>
          <w:sz w:val="20"/>
          <w:szCs w:val="20"/>
          <w:color w:val="auto"/>
        </w:rPr>
        <w:t>BY: BRIDGE STREET OPPORTUNITY ADVISORS, L.L.C., ITS GENERAL PARTNER</w:t>
      </w:r>
    </w:p>
    <w:p>
      <w:pPr>
        <w:spacing w:after="0" w:line="250"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William Y.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William Y. Eng</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820"/>
          </w:cols>
          <w:pgMar w:left="1440" w:top="1440" w:right="639" w:bottom="1440" w:gutter="0" w:footer="0" w:header="0"/>
        </w:sectPr>
      </w:pPr>
    </w:p>
    <w:bookmarkStart w:id="294" w:name="page295"/>
    <w:bookmarkEnd w:id="294"/>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PAMPLONA CAPITAL PARTNERS III, L.P.</w:t>
      </w:r>
    </w:p>
    <w:p>
      <w:pPr>
        <w:spacing w:after="0" w:line="2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Pamplona Equity Advisors III Ltd., its general partner</w:t>
      </w:r>
    </w:p>
    <w:p>
      <w:pPr>
        <w:spacing w:after="0" w:line="293"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Wade 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Wade Kenney</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440"/>
          </w:cols>
          <w:pgMar w:left="1440" w:top="1440" w:right="1019" w:bottom="1440" w:gutter="0" w:footer="0" w:header="0"/>
        </w:sectPr>
      </w:pPr>
    </w:p>
    <w:bookmarkStart w:id="295" w:name="page296"/>
    <w:bookmarkEnd w:id="295"/>
    <w:p>
      <w:pPr>
        <w:spacing w:after="0" w:line="2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Jeffrey B.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33432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Jeffrey B. Butler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6" w:name="page297"/>
    <w:bookmarkEnd w:id="296"/>
    <w:p>
      <w:pPr>
        <w:spacing w:after="0" w:line="2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NATIONAL INVESTMENT GROUP, INC.</w:t>
      </w:r>
    </w:p>
    <w:p>
      <w:pPr>
        <w:spacing w:after="0" w:line="295"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Robert 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Robert Haft</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7" w:name="page298"/>
    <w:bookmarkEnd w:id="297"/>
    <w:p>
      <w:pPr>
        <w:spacing w:after="0" w:line="2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HEP PRIVIA INVESTORS, LLC</w:t>
      </w:r>
    </w:p>
    <w:p>
      <w:pPr>
        <w:spacing w:after="0" w:line="295"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David P. Tamburri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Name: David P/ Tamburri</w:t>
      </w:r>
    </w:p>
    <w:p>
      <w:pPr>
        <w:spacing w:after="0" w:line="32" w:lineRule="exact"/>
        <w:rPr>
          <w:sz w:val="20"/>
          <w:szCs w:val="20"/>
          <w:color w:val="auto"/>
        </w:rPr>
      </w:pPr>
    </w:p>
    <w:p>
      <w:pPr>
        <w:jc w:val="right"/>
        <w:ind w:right="1479"/>
        <w:spacing w:after="0"/>
        <w:rPr>
          <w:sz w:val="20"/>
          <w:szCs w:val="20"/>
          <w:color w:val="auto"/>
        </w:rPr>
      </w:pPr>
      <w:r>
        <w:rPr>
          <w:rFonts w:ascii="Arial" w:cs="Arial" w:eastAsia="Arial" w:hAnsi="Arial"/>
          <w:sz w:val="20"/>
          <w:szCs w:val="20"/>
          <w:color w:val="auto"/>
        </w:rPr>
        <w:t>Title: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8" w:name="page299"/>
    <w:bookmarkEnd w:id="298"/>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BRIGHTON FAMILY, LLC</w:t>
      </w:r>
    </w:p>
    <w:p>
      <w:pPr>
        <w:spacing w:after="0" w:line="270"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William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jc w:val="right"/>
        <w:ind w:right="1479"/>
        <w:spacing w:after="0"/>
        <w:rPr>
          <w:sz w:val="20"/>
          <w:szCs w:val="20"/>
          <w:color w:val="auto"/>
        </w:rPr>
      </w:pPr>
      <w:r>
        <w:rPr>
          <w:rFonts w:ascii="Arial" w:cs="Arial" w:eastAsia="Arial" w:hAnsi="Arial"/>
          <w:sz w:val="20"/>
          <w:szCs w:val="20"/>
          <w:color w:val="auto"/>
        </w:rPr>
        <w:t>Name: William M. Sullivan</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9" w:name="page300"/>
    <w:bookmarkEnd w:id="299"/>
    <w:p>
      <w:pPr>
        <w:spacing w:after="0" w:line="20"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/s/ David Rothenberg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39370</wp:posOffset>
            </wp:positionV>
            <wp:extent cx="33775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David Rothenberg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300" w:name="page301"/>
    <w:bookmarkEnd w:id="300"/>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CHP III, L.P.</w:t>
      </w:r>
    </w:p>
    <w:p>
      <w:pPr>
        <w:spacing w:after="0" w:line="283" w:lineRule="exact"/>
        <w:rPr>
          <w:sz w:val="20"/>
          <w:szCs w:val="20"/>
          <w:color w:val="auto"/>
        </w:rPr>
      </w:pPr>
    </w:p>
    <w:p>
      <w:pPr>
        <w:jc w:val="both"/>
        <w:ind w:left="4820"/>
        <w:spacing w:after="0"/>
        <w:tabs>
          <w:tab w:leader="none" w:pos="5320" w:val="left"/>
        </w:tabs>
        <w:rPr>
          <w:sz w:val="20"/>
          <w:szCs w:val="20"/>
          <w:color w:val="auto"/>
        </w:rPr>
      </w:pPr>
      <w:r>
        <w:rPr>
          <w:rFonts w:ascii="Arial" w:cs="Arial" w:eastAsia="Arial" w:hAnsi="Arial"/>
          <w:sz w:val="20"/>
          <w:szCs w:val="20"/>
          <w:color w:val="auto"/>
        </w:rPr>
        <w:t>By:</w:t>
        <w:tab/>
        <w:t>CHP III Management, LLC, its general partner</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By: /s/ John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John J. Park</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Managing Member</w:t>
      </w:r>
    </w:p>
    <w:p>
      <w:pPr>
        <w:spacing w:after="0" w:line="222" w:lineRule="exact"/>
        <w:rPr>
          <w:sz w:val="20"/>
          <w:szCs w:val="20"/>
          <w:color w:val="auto"/>
        </w:rPr>
      </w:pPr>
    </w:p>
    <w:p>
      <w:pPr>
        <w:ind w:left="4820"/>
        <w:spacing w:after="0"/>
        <w:rPr>
          <w:sz w:val="20"/>
          <w:szCs w:val="20"/>
          <w:color w:val="auto"/>
        </w:rPr>
      </w:pPr>
      <w:r>
        <w:rPr>
          <w:rFonts w:ascii="Arial" w:cs="Arial" w:eastAsia="Arial" w:hAnsi="Arial"/>
          <w:sz w:val="20"/>
          <w:szCs w:val="20"/>
          <w:i w:val="1"/>
          <w:iCs w:val="1"/>
          <w:color w:val="auto"/>
        </w:rPr>
        <w:t>Address for Notices:</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Cardinal Partners</w:t>
      </w:r>
    </w:p>
    <w:p>
      <w:pPr>
        <w:spacing w:after="0" w:line="1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230 Nassau Street</w:t>
      </w:r>
    </w:p>
    <w:p>
      <w:pPr>
        <w:spacing w:after="0" w:line="1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Princeton, NJ 08542</w:t>
      </w:r>
    </w:p>
    <w:p>
      <w:pPr>
        <w:spacing w:after="0" w:line="1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Attn: John Park</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johnpark@cardinalpartners.com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40"/>
          </w:cols>
          <w:pgMar w:left="1440" w:top="1440" w:right="1419" w:bottom="1440" w:gutter="0" w:footer="0" w:header="0"/>
        </w:sectPr>
      </w:pPr>
    </w:p>
    <w:bookmarkStart w:id="301" w:name="page302"/>
    <w:bookmarkEnd w:id="301"/>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SOUTH BEDFORD COMPANY LLC</w:t>
      </w:r>
    </w:p>
    <w:p>
      <w:pPr>
        <w:spacing w:after="0" w:line="283"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Scott Hayworth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Scott Hayworth, MD</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Managing Director, South Bedford Company</w:t>
      </w:r>
    </w:p>
    <w:p>
      <w:pPr>
        <w:spacing w:after="0" w:line="245" w:lineRule="exact"/>
        <w:rPr>
          <w:sz w:val="20"/>
          <w:szCs w:val="20"/>
          <w:color w:val="auto"/>
        </w:rPr>
      </w:pPr>
    </w:p>
    <w:p>
      <w:pPr>
        <w:ind w:left="4820"/>
        <w:spacing w:after="0"/>
        <w:rPr>
          <w:sz w:val="20"/>
          <w:szCs w:val="20"/>
          <w:color w:val="auto"/>
        </w:rPr>
      </w:pPr>
      <w:r>
        <w:rPr>
          <w:rFonts w:ascii="Arial" w:cs="Arial" w:eastAsia="Arial" w:hAnsi="Arial"/>
          <w:sz w:val="20"/>
          <w:szCs w:val="20"/>
          <w:i w:val="1"/>
          <w:iCs w:val="1"/>
          <w:color w:val="auto"/>
        </w:rPr>
        <w:t>Address for Notices:</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90 South Bedford Rd.</w:t>
      </w:r>
    </w:p>
    <w:p>
      <w:pPr>
        <w:spacing w:after="0" w:line="1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Mount Kisco, NY 10549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380"/>
          </w:cols>
          <w:pgMar w:left="1440" w:top="1440" w:right="1079" w:bottom="1440" w:gutter="0" w:footer="0" w:header="0"/>
        </w:sectPr>
      </w:pPr>
    </w:p>
    <w:bookmarkStart w:id="302" w:name="page303"/>
    <w:bookmarkEnd w:id="302"/>
    <w:p>
      <w:pPr>
        <w:spacing w:after="0" w:line="290"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340"/>
        <w:spacing w:after="0"/>
        <w:tabs>
          <w:tab w:leader="none" w:pos="6080" w:val="left"/>
        </w:tabs>
        <w:rPr>
          <w:sz w:val="20"/>
          <w:szCs w:val="20"/>
          <w:color w:val="auto"/>
        </w:rPr>
      </w:pPr>
      <w:r>
        <w:rPr>
          <w:rFonts w:ascii="Arial" w:cs="Arial" w:eastAsia="Arial" w:hAnsi="Arial"/>
          <w:sz w:val="19"/>
          <w:szCs w:val="19"/>
          <w:color w:val="auto"/>
        </w:rPr>
        <w:t>Name:</w:t>
        <w:tab/>
        <w:t>Shawn Morris</w:t>
      </w:r>
    </w:p>
    <w:p>
      <w:pPr>
        <w:spacing w:after="0" w:line="200" w:lineRule="exact"/>
        <w:rPr>
          <w:sz w:val="20"/>
          <w:szCs w:val="20"/>
          <w:color w:val="auto"/>
        </w:rPr>
      </w:pPr>
    </w:p>
    <w:p>
      <w:pPr>
        <w:spacing w:after="0" w:line="365" w:lineRule="exact"/>
        <w:rPr>
          <w:sz w:val="20"/>
          <w:szCs w:val="20"/>
          <w:color w:val="auto"/>
        </w:rPr>
      </w:pPr>
    </w:p>
    <w:p>
      <w:pPr>
        <w:ind w:left="4820"/>
        <w:spacing w:after="0"/>
        <w:rPr>
          <w:sz w:val="20"/>
          <w:szCs w:val="20"/>
          <w:color w:val="auto"/>
        </w:rPr>
      </w:pPr>
      <w:r>
        <w:rPr>
          <w:rFonts w:ascii="Arial" w:cs="Arial" w:eastAsia="Arial" w:hAnsi="Arial"/>
          <w:sz w:val="20"/>
          <w:szCs w:val="20"/>
          <w:i w:val="1"/>
          <w:iCs w:val="1"/>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20"/>
        <w:spacing w:after="0"/>
        <w:tabs>
          <w:tab w:leader="none" w:pos="5320" w:val="left"/>
        </w:tabs>
        <w:rPr>
          <w:sz w:val="20"/>
          <w:szCs w:val="20"/>
          <w:color w:val="auto"/>
        </w:rPr>
      </w:pPr>
      <w:r>
        <w:rPr>
          <w:rFonts w:ascii="Arial" w:cs="Arial" w:eastAsia="Arial" w:hAnsi="Arial"/>
          <w:sz w:val="20"/>
          <w:szCs w:val="20"/>
          <w:color w:val="auto"/>
        </w:rPr>
        <w:t>By:</w:t>
        <w:tab/>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10160</wp:posOffset>
            </wp:positionV>
            <wp:extent cx="30518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jc w:val="both"/>
        <w:ind w:left="5340"/>
        <w:spacing w:after="0"/>
        <w:tabs>
          <w:tab w:leader="none" w:pos="6080" w:val="left"/>
        </w:tabs>
        <w:rPr>
          <w:sz w:val="20"/>
          <w:szCs w:val="20"/>
          <w:color w:val="auto"/>
        </w:rPr>
      </w:pPr>
      <w:r>
        <w:rPr>
          <w:rFonts w:ascii="Arial" w:cs="Arial" w:eastAsia="Arial" w:hAnsi="Arial"/>
          <w:sz w:val="20"/>
          <w:szCs w:val="20"/>
          <w:color w:val="auto"/>
        </w:rPr>
        <w:t>Name:</w:t>
        <w:tab/>
        <w:t>Parth Mehrotra</w:t>
      </w:r>
    </w:p>
    <w:p>
      <w:pPr>
        <w:spacing w:after="0" w:line="283" w:lineRule="exact"/>
        <w:rPr>
          <w:sz w:val="20"/>
          <w:szCs w:val="20"/>
          <w:color w:val="auto"/>
        </w:rPr>
      </w:pPr>
    </w:p>
    <w:p>
      <w:pPr>
        <w:ind w:left="4820"/>
        <w:spacing w:after="0"/>
        <w:rPr>
          <w:sz w:val="20"/>
          <w:szCs w:val="20"/>
          <w:color w:val="auto"/>
        </w:rPr>
      </w:pPr>
      <w:r>
        <w:rPr>
          <w:rFonts w:ascii="Arial" w:cs="Arial" w:eastAsia="Arial" w:hAnsi="Arial"/>
          <w:sz w:val="20"/>
          <w:szCs w:val="20"/>
          <w:i w:val="1"/>
          <w:iCs w:val="1"/>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303" w:name="page304"/>
    <w:bookmarkEnd w:id="303"/>
    <w:p>
      <w:pPr>
        <w:spacing w:after="0" w:line="20"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/s/ Thomas Bartrum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39370</wp:posOffset>
            </wp:positionV>
            <wp:extent cx="33775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Thomas Bartrum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304" w:name="page305"/>
    <w:bookmarkEnd w:id="304"/>
    <w:p>
      <w:pPr>
        <w:spacing w:after="0" w:line="2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24765</wp:posOffset>
            </wp:positionV>
            <wp:extent cx="33775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David Mountcastle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2" w:lineRule="exact"/>
        <w:rPr>
          <w:sz w:val="20"/>
          <w:szCs w:val="20"/>
          <w:color w:val="auto"/>
        </w:rPr>
      </w:pPr>
    </w:p>
    <w:p>
      <w:pPr>
        <w:ind w:right="40" w:firstLine="441"/>
        <w:spacing w:after="0" w:line="254" w:lineRule="auto"/>
        <w:rPr>
          <w:sz w:val="20"/>
          <w:szCs w:val="20"/>
          <w:color w:val="auto"/>
        </w:rPr>
      </w:pPr>
      <w:r>
        <w:rPr>
          <w:rFonts w:ascii="Arial" w:cs="Arial" w:eastAsia="Arial" w:hAnsi="Arial"/>
          <w:sz w:val="17"/>
          <w:szCs w:val="17"/>
          <w:color w:val="auto"/>
        </w:rPr>
        <w:t>We hereby consent to the use in this Registration Statement on Form S-1 of Privia Health Group, Inc. of our report dated March 16, 2021, relating to the financial statements of Privia Health Group, Inc., which appears in this Registration Statement. We also consent to the reference to us under the heading “Experts” in such Registration Statement.</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PricewaterhouseCoopers LLP</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Baltimore, Maryland</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November 16,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1"/>
    </w:lvl>
  </w:abstractNum>
  <w:abstractNum w:abstractNumId="1">
    <w:nsid w:val="415E286C"/>
    <w:multiLevelType w:val="hybridMultilevel"/>
    <w:lvl w:ilvl="0">
      <w:lvlJc w:val="left"/>
      <w:lvlText w:val="(%1)"/>
      <w:numFmt w:val="decimal"/>
      <w:start w:val="1"/>
    </w:lvl>
  </w:abstractNum>
  <w:abstractNum w:abstractNumId="2">
    <w:nsid w:val="7C58FD05"/>
    <w:multiLevelType w:val="hybridMultilevel"/>
    <w:lvl w:ilvl="0">
      <w:lvlJc w:val="left"/>
      <w:lvlText w:val="%1)"/>
      <w:numFmt w:val="decimal"/>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1)"/>
      <w:numFmt w:val="decimal"/>
      <w:start w:val="1"/>
    </w:lvl>
  </w:abstractNum>
  <w:abstractNum w:abstractNumId="5">
    <w:nsid w:val="5C10FE21"/>
    <w:multiLevelType w:val="hybridMultilevel"/>
    <w:lvl w:ilvl="0">
      <w:lvlJc w:val="left"/>
      <w:lvlText w:val="(%1)"/>
      <w:numFmt w:val="decimal"/>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1)"/>
      <w:numFmt w:val="lowerRoman"/>
      <w:start w:val="2"/>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
      <w:numFmt w:val="bullet"/>
      <w:start w:val="1"/>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lvl w:ilvl="1">
      <w:lvlJc w:val="left"/>
      <w:lvlText w:val="•"/>
      <w:numFmt w:val="bullet"/>
      <w:start w:val="1"/>
    </w:lvl>
  </w:abstractNum>
  <w:abstractNum w:abstractNumId="18">
    <w:nsid w:val="1DF029D3"/>
    <w:multiLevelType w:val="hybridMultilevel"/>
    <w:lvl w:ilvl="0">
      <w:lvlJc w:val="left"/>
      <w:lvlText w:val="•"/>
      <w:numFmt w:val="bullet"/>
      <w:start w:val="1"/>
    </w:lvl>
    <w:lvl w:ilvl="1">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1)"/>
      <w:numFmt w:val="decimal"/>
      <w:start w:val="1"/>
    </w:lvl>
  </w:abstractNum>
  <w:abstractNum w:abstractNumId="25">
    <w:nsid w:val="4F97E3E4"/>
    <w:multiLevelType w:val="hybridMultilevel"/>
    <w:lvl w:ilvl="0">
      <w:lvlJc w:val="left"/>
      <w:lvlText w:val="(%1)"/>
      <w:numFmt w:val="decimal"/>
      <w:start w:val="1"/>
    </w:lvl>
    <w:lvl w:ilvl="1">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1)"/>
      <w:numFmt w:val="decimal"/>
      <w:start w:val="1"/>
    </w:lvl>
  </w:abstractNum>
  <w:abstractNum w:abstractNumId="41">
    <w:nsid w:val="5399C654"/>
    <w:multiLevelType w:val="hybridMultilevel"/>
    <w:lvl w:ilvl="0">
      <w:lvlJc w:val="left"/>
      <w:lvlText w:val="(%1)"/>
      <w:numFmt w:val="decimal"/>
      <w:start w:val="1"/>
    </w:lvl>
  </w:abstractNum>
  <w:abstractNum w:abstractNumId="42">
    <w:nsid w:val="20EE1348"/>
    <w:multiLevelType w:val="hybridMultilevel"/>
    <w:lvl w:ilvl="0">
      <w:lvlJc w:val="left"/>
      <w:lvlText w:val="(%1)"/>
      <w:numFmt w:val="decimal"/>
      <w:start w:val="1"/>
    </w:lvl>
  </w:abstractNum>
  <w:abstractNum w:abstractNumId="43">
    <w:nsid w:val="4427069A"/>
    <w:multiLevelType w:val="hybridMultilevel"/>
    <w:lvl w:ilvl="0">
      <w:lvlJc w:val="left"/>
      <w:lvlText w:val="(%1)"/>
      <w:numFmt w:val="decimal"/>
      <w:start w:val="1"/>
    </w:lvl>
  </w:abstractNum>
  <w:abstractNum w:abstractNumId="44">
    <w:nsid w:val="B37E80A"/>
    <w:multiLevelType w:val="hybridMultilevel"/>
    <w:lvl w:ilvl="0">
      <w:lvlJc w:val="left"/>
      <w:lvlText w:val="%1)"/>
      <w:numFmt w:val="decimal"/>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1)"/>
      <w:numFmt w:val="decimal"/>
      <w:start w:val="1"/>
    </w:lvl>
    <w:lvl w:ilvl="1">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1."/>
      <w:numFmt w:val="decimal"/>
      <w:start w:val="35"/>
    </w:lvl>
  </w:abstractNum>
  <w:abstractNum w:abstractNumId="51">
    <w:nsid w:val="49D0FEAC"/>
    <w:multiLevelType w:val="hybridMultilevel"/>
    <w:lvl w:ilvl="0">
      <w:lvlJc w:val="left"/>
      <w:lvlText w:val="%1"/>
      <w:numFmt w:val="decimal"/>
      <w:start w:val="85"/>
    </w:lvl>
  </w:abstractNum>
  <w:abstractNum w:abstractNumId="52">
    <w:nsid w:val="4BEE5A5B"/>
    <w:multiLevelType w:val="hybridMultilevel"/>
    <w:lvl w:ilvl="0">
      <w:lvlJc w:val="left"/>
      <w:lvlText w:val="(%1)"/>
      <w:numFmt w:val="decimal"/>
      <w:start w:val="1"/>
    </w:lvl>
  </w:abstractNum>
  <w:abstractNum w:abstractNumId="53">
    <w:nsid w:val="5551B9F3"/>
    <w:multiLevelType w:val="hybridMultilevel"/>
    <w:lvl w:ilvl="0">
      <w:lvlJc w:val="left"/>
      <w:lvlText w:val="(%1)"/>
      <w:numFmt w:val="decimal"/>
      <w:start w:val="1"/>
    </w:lvl>
  </w:abstractNum>
  <w:abstractNum w:abstractNumId="54">
    <w:nsid w:val="24F6AB8E"/>
    <w:multiLevelType w:val="hybridMultilevel"/>
    <w:lvl w:ilvl="0">
      <w:lvlJc w:val="left"/>
      <w:lvlText w:val="•"/>
      <w:numFmt w:val="bullet"/>
      <w:start w:val="1"/>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1)"/>
      <w:numFmt w:val="decimal"/>
      <w:start w:val="1"/>
    </w:lvl>
  </w:abstractNum>
  <w:abstractNum w:abstractNumId="59">
    <w:nsid w:val="7DFF9D09"/>
    <w:multiLevelType w:val="hybridMultilevel"/>
    <w:lvl w:ilvl="0">
      <w:lvlJc w:val="left"/>
      <w:lvlText w:val="%1."/>
      <w:numFmt w:val="lowerRoman"/>
      <w:start w:val="1"/>
    </w:lvl>
  </w:abstractNum>
  <w:abstractNum w:abstractNumId="60">
    <w:nsid w:val="754342"/>
    <w:multiLevelType w:val="hybridMultilevel"/>
    <w:lvl w:ilvl="0">
      <w:lvlJc w:val="left"/>
      <w:lvlText w:val="(%1)"/>
      <w:numFmt w:val="lowerRoman"/>
      <w:start w:val="2"/>
    </w:lvl>
  </w:abstractNum>
  <w:abstractNum w:abstractNumId="61">
    <w:nsid w:val="69E7F3E5"/>
    <w:multiLevelType w:val="hybridMultilevel"/>
    <w:lvl w:ilvl="0">
      <w:lvlJc w:val="left"/>
      <w:lvlText w:val="%1)"/>
      <w:numFmt w:val="decimal"/>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
      <w:numFmt w:val="bullet"/>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
      <w:numFmt w:val="bullet"/>
      <w:start w:val="1"/>
    </w:lvl>
  </w:abstractNum>
  <w:abstractNum w:abstractNumId="69">
    <w:nsid w:val="F819E7F"/>
    <w:multiLevelType w:val="hybridMultilevel"/>
    <w:lvl w:ilvl="0">
      <w:lvlJc w:val="left"/>
      <w:lvlText w:val="•"/>
      <w:numFmt w:val="bullet"/>
      <w:start w:val="1"/>
    </w:lvl>
  </w:abstractNum>
  <w:abstractNum w:abstractNumId="70">
    <w:nsid w:val="57C7D42D"/>
    <w:multiLevelType w:val="hybridMultilevel"/>
    <w:lvl w:ilvl="0">
      <w:lvlJc w:val="left"/>
      <w:lvlText w:val="•"/>
      <w:numFmt w:val="bullet"/>
      <w:start w:val="1"/>
    </w:lvl>
  </w:abstractNum>
  <w:abstractNum w:abstractNumId="71">
    <w:nsid w:val="312167AD"/>
    <w:multiLevelType w:val="hybridMultilevel"/>
    <w:lvl w:ilvl="0">
      <w:lvlJc w:val="left"/>
      <w:lvlText w:val="•"/>
      <w:numFmt w:val="bullet"/>
      <w:start w:val="1"/>
    </w:lvl>
  </w:abstractNum>
  <w:abstractNum w:abstractNumId="72">
    <w:nsid w:val="631B64D4"/>
    <w:multiLevelType w:val="hybridMultilevel"/>
    <w:lvl w:ilvl="0">
      <w:lvlJc w:val="left"/>
      <w:lvlText w:val="•"/>
      <w:numFmt w:val="bullet"/>
      <w:start w:val="1"/>
    </w:lvl>
    <w:lvl w:ilvl="1">
      <w:lvlJc w:val="left"/>
      <w:lvlText w:val="•"/>
      <w:numFmt w:val="bullet"/>
      <w:start w:val="1"/>
    </w:lvl>
  </w:abstractNum>
  <w:abstractNum w:abstractNumId="73">
    <w:nsid w:val="78B5E776"/>
    <w:multiLevelType w:val="hybridMultilevel"/>
    <w:lvl w:ilvl="0">
      <w:lvlJc w:val="left"/>
      <w:lvlText w:val="•"/>
      <w:numFmt w:val="bullet"/>
      <w:start w:val="1"/>
    </w:lvl>
  </w:abstractNum>
  <w:abstractNum w:abstractNumId="74">
    <w:nsid w:val="75486E47"/>
    <w:multiLevelType w:val="hybridMultilevel"/>
    <w:lvl w:ilvl="0">
      <w:lvlJc w:val="left"/>
      <w:lvlText w:val="•"/>
      <w:numFmt w:val="bullet"/>
      <w:start w:val="1"/>
    </w:lvl>
  </w:abstractNum>
  <w:abstractNum w:abstractNumId="75">
    <w:nsid w:val="6E534CDE"/>
    <w:multiLevelType w:val="hybridMultilevel"/>
    <w:lvl w:ilvl="0">
      <w:lvlJc w:val="left"/>
      <w:lvlText w:val="•"/>
      <w:numFmt w:val="bullet"/>
      <w:start w:val="1"/>
    </w:lvl>
  </w:abstractNum>
  <w:abstractNum w:abstractNumId="76">
    <w:nsid w:val="1A0DDE32"/>
    <w:multiLevelType w:val="hybridMultilevel"/>
    <w:lvl w:ilvl="0">
      <w:lvlJc w:val="left"/>
      <w:lvlText w:val="•"/>
      <w:numFmt w:val="bullet"/>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abstractNum>
  <w:abstractNum w:abstractNumId="79">
    <w:nsid w:val="260D8C4A"/>
    <w:multiLevelType w:val="hybridMultilevel"/>
    <w:lvl w:ilvl="0">
      <w:lvlJc w:val="left"/>
      <w:lvlText w:val="•"/>
      <w:numFmt w:val="bullet"/>
      <w:start w:val="1"/>
    </w:lvl>
    <w:lvl w:ilvl="1">
      <w:lvlJc w:val="left"/>
      <w:lvlText w:val="•"/>
      <w:numFmt w:val="bullet"/>
      <w:start w:val="1"/>
    </w:lvl>
  </w:abstractNum>
  <w:abstractNum w:abstractNumId="80">
    <w:nsid w:val="73D4D3C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1">
    <w:nsid w:val="746F2E30"/>
    <w:multiLevelType w:val="hybridMultilevel"/>
    <w:lvl w:ilvl="0">
      <w:lvlJc w:val="left"/>
      <w:lvlText w:val="•"/>
      <w:numFmt w:val="bullet"/>
      <w:start w:val="1"/>
    </w:lvl>
    <w:lvl w:ilvl="1">
      <w:lvlJc w:val="left"/>
      <w:lvlText w:val="•"/>
      <w:numFmt w:val="bullet"/>
      <w:start w:val="1"/>
    </w:lvl>
  </w:abstractNum>
  <w:abstractNum w:abstractNumId="82">
    <w:nsid w:val="6FDE8AF6"/>
    <w:multiLevelType w:val="hybridMultilevel"/>
    <w:lvl w:ilvl="0">
      <w:lvlJc w:val="left"/>
      <w:lvlText w:val="•"/>
      <w:numFmt w:val="bullet"/>
      <w:start w:val="1"/>
    </w:lvl>
  </w:abstractNum>
  <w:abstractNum w:abstractNumId="83">
    <w:nsid w:val="3FC32E20"/>
    <w:multiLevelType w:val="hybridMultilevel"/>
    <w:lvl w:ilvl="0">
      <w:lvlJc w:val="left"/>
      <w:lvlText w:val="•"/>
      <w:numFmt w:val="bullet"/>
      <w:start w:val="1"/>
    </w:lvl>
  </w:abstractNum>
  <w:abstractNum w:abstractNumId="84">
    <w:nsid w:val="49C0E823"/>
    <w:multiLevelType w:val="hybridMultilevel"/>
    <w:lvl w:ilvl="0">
      <w:lvlJc w:val="left"/>
      <w:lvlText w:val="•"/>
      <w:numFmt w:val="bullet"/>
      <w:start w:val="1"/>
    </w:lvl>
  </w:abstractNum>
  <w:abstractNum w:abstractNumId="85">
    <w:nsid w:val="14D53685"/>
    <w:multiLevelType w:val="hybridMultilevel"/>
    <w:lvl w:ilvl="0">
      <w:lvlJc w:val="left"/>
      <w:lvlText w:val="•"/>
      <w:numFmt w:val="bullet"/>
      <w:start w:val="1"/>
    </w:lvl>
  </w:abstractNum>
  <w:abstractNum w:abstractNumId="86">
    <w:nsid w:val="230F856C"/>
    <w:multiLevelType w:val="hybridMultilevel"/>
    <w:lvl w:ilvl="0">
      <w:lvlJc w:val="left"/>
      <w:lvlText w:val="•"/>
      <w:numFmt w:val="bullet"/>
      <w:start w:val="1"/>
    </w:lvl>
  </w:abstractNum>
  <w:abstractNum w:abstractNumId="87">
    <w:nsid w:val="6EAA85FB"/>
    <w:multiLevelType w:val="hybridMultilevel"/>
    <w:lvl w:ilvl="0">
      <w:lvlJc w:val="left"/>
      <w:lvlText w:val="•"/>
      <w:numFmt w:val="bullet"/>
      <w:start w:val="1"/>
    </w:lvl>
  </w:abstractNum>
  <w:abstractNum w:abstractNumId="88">
    <w:nsid w:val="3F06ECB2"/>
    <w:multiLevelType w:val="hybridMultilevel"/>
    <w:lvl w:ilvl="0">
      <w:lvlJc w:val="left"/>
      <w:lvlText w:val="•"/>
      <w:numFmt w:val="bullet"/>
      <w:start w:val="1"/>
    </w:lvl>
    <w:lvl w:ilvl="1">
      <w:lvlJc w:val="left"/>
      <w:lvlText w:val="•"/>
      <w:numFmt w:val="bullet"/>
      <w:start w:val="1"/>
    </w:lvl>
  </w:abstractNum>
  <w:abstractNum w:abstractNumId="89">
    <w:nsid w:val="3B594807"/>
    <w:multiLevelType w:val="hybridMultilevel"/>
    <w:lvl w:ilvl="0">
      <w:lvlJc w:val="left"/>
      <w:lvlText w:val="•"/>
      <w:numFmt w:val="bullet"/>
      <w:start w:val="1"/>
    </w:lvl>
  </w:abstractNum>
  <w:abstractNum w:abstractNumId="90">
    <w:nsid w:val="6CAA2304"/>
    <w:multiLevelType w:val="hybridMultilevel"/>
    <w:lvl w:ilvl="0">
      <w:lvlJc w:val="left"/>
      <w:lvlText w:val="•"/>
      <w:numFmt w:val="bullet"/>
      <w:start w:val="1"/>
    </w:lvl>
  </w:abstractNum>
  <w:abstractNum w:abstractNumId="91">
    <w:nsid w:val="3F7C2FF4"/>
    <w:multiLevelType w:val="hybridMultilevel"/>
    <w:lvl w:ilvl="0">
      <w:lvlJc w:val="left"/>
      <w:lvlText w:val="•"/>
      <w:numFmt w:val="bullet"/>
      <w:start w:val="1"/>
    </w:lvl>
  </w:abstractNum>
  <w:abstractNum w:abstractNumId="92">
    <w:nsid w:val="25413BEC"/>
    <w:multiLevelType w:val="hybridMultilevel"/>
    <w:lvl w:ilvl="0">
      <w:lvlJc w:val="left"/>
      <w:lvlText w:val="•"/>
      <w:numFmt w:val="bullet"/>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1)"/>
      <w:numFmt w:val="decimal"/>
      <w:start w:val="1"/>
    </w:lvl>
  </w:abstractNum>
  <w:abstractNum w:abstractNumId="95">
    <w:nsid w:val="5D205E20"/>
    <w:multiLevelType w:val="hybridMultilevel"/>
    <w:lvl w:ilvl="0">
      <w:lvlJc w:val="left"/>
      <w:lvlText w:val="(%1)"/>
      <w:numFmt w:val="decimal"/>
      <w:start w:val="1"/>
    </w:lvl>
  </w:abstractNum>
  <w:abstractNum w:abstractNumId="96">
    <w:nsid w:val="11CCA8BA"/>
    <w:multiLevelType w:val="hybridMultilevel"/>
    <w:lvl w:ilvl="0">
      <w:lvlJc w:val="left"/>
      <w:lvlText w:val="•"/>
      <w:numFmt w:val="bullet"/>
      <w:start w:val="1"/>
    </w:lvl>
  </w:abstractNum>
  <w:abstractNum w:abstractNumId="97">
    <w:nsid w:val="4D32AB86"/>
    <w:multiLevelType w:val="hybridMultilevel"/>
    <w:lvl w:ilvl="0">
      <w:lvlJc w:val="left"/>
      <w:lvlText w:val="•"/>
      <w:numFmt w:val="bullet"/>
      <w:start w:val="1"/>
    </w:lvl>
  </w:abstractNum>
  <w:abstractNum w:abstractNumId="98">
    <w:nsid w:val="3F07ACC3"/>
    <w:multiLevelType w:val="hybridMultilevel"/>
    <w:lvl w:ilvl="0">
      <w:lvlJc w:val="left"/>
      <w:lvlText w:val="•"/>
      <w:numFmt w:val="bullet"/>
      <w:start w:val="1"/>
    </w:lvl>
  </w:abstractNum>
  <w:abstractNum w:abstractNumId="99">
    <w:nsid w:val="6B47F63E"/>
    <w:multiLevelType w:val="hybridMultilevel"/>
    <w:lvl w:ilvl="0">
      <w:lvlJc w:val="left"/>
      <w:lvlText w:val="•"/>
      <w:numFmt w:val="bullet"/>
      <w:start w:val="1"/>
    </w:lvl>
  </w:abstractNum>
  <w:abstractNum w:abstractNumId="100">
    <w:nsid w:val="5CB44A05"/>
    <w:multiLevelType w:val="hybridMultilevel"/>
    <w:lvl w:ilvl="0">
      <w:lvlJc w:val="left"/>
      <w:lvlText w:val="•"/>
      <w:numFmt w:val="bullet"/>
      <w:start w:val="1"/>
    </w:lvl>
  </w:abstractNum>
  <w:abstractNum w:abstractNumId="101">
    <w:nsid w:val="16CF80F1"/>
    <w:multiLevelType w:val="hybridMultilevel"/>
    <w:lvl w:ilvl="0">
      <w:lvlJc w:val="left"/>
      <w:lvlText w:val="•"/>
      <w:numFmt w:val="bullet"/>
      <w:start w:val="1"/>
    </w:lvl>
  </w:abstractNum>
  <w:abstractNum w:abstractNumId="102">
    <w:nsid w:val="1C695DEC"/>
    <w:multiLevelType w:val="hybridMultilevel"/>
    <w:lvl w:ilvl="0">
      <w:lvlJc w:val="left"/>
      <w:lvlText w:val="•"/>
      <w:numFmt w:val="bullet"/>
      <w:start w:val="1"/>
    </w:lvl>
  </w:abstractNum>
  <w:abstractNum w:abstractNumId="103">
    <w:nsid w:val="3FCFAED9"/>
    <w:multiLevelType w:val="hybridMultilevel"/>
    <w:lvl w:ilvl="0">
      <w:lvlJc w:val="left"/>
      <w:lvlText w:val="•"/>
      <w:numFmt w:val="bullet"/>
      <w:start w:val="1"/>
    </w:lvl>
  </w:abstractNum>
  <w:abstractNum w:abstractNumId="104">
    <w:nsid w:val="F856867"/>
    <w:multiLevelType w:val="hybridMultilevel"/>
    <w:lvl w:ilvl="0">
      <w:lvlJc w:val="left"/>
      <w:lvlText w:val="(%1)"/>
      <w:numFmt w:val="decimal"/>
      <w:start w:val="1"/>
    </w:lvl>
  </w:abstractNum>
  <w:abstractNum w:abstractNumId="105">
    <w:nsid w:val="11B1CC33"/>
    <w:multiLevelType w:val="hybridMultilevel"/>
    <w:lvl w:ilvl="0">
      <w:lvlJc w:val="left"/>
      <w:lvlText w:val="(%1)"/>
      <w:numFmt w:val="decimal"/>
      <w:start w:val="1"/>
    </w:lvl>
  </w:abstractNum>
  <w:abstractNum w:abstractNumId="106">
    <w:nsid w:val="2E22FBB7"/>
    <w:multiLevelType w:val="hybridMultilevel"/>
    <w:lvl w:ilvl="0">
      <w:lvlJc w:val="left"/>
      <w:lvlText w:val="•"/>
      <w:numFmt w:val="bullet"/>
      <w:start w:val="1"/>
    </w:lvl>
  </w:abstractNum>
  <w:abstractNum w:abstractNumId="107">
    <w:nsid w:val="29934699"/>
    <w:multiLevelType w:val="hybridMultilevel"/>
    <w:lvl w:ilvl="0">
      <w:lvlJc w:val="left"/>
      <w:lvlText w:val="•"/>
      <w:numFmt w:val="bullet"/>
      <w:start w:val="1"/>
    </w:lvl>
  </w:abstractNum>
  <w:abstractNum w:abstractNumId="108">
    <w:nsid w:val="77485850"/>
    <w:multiLevelType w:val="hybridMultilevel"/>
    <w:lvl w:ilvl="0">
      <w:lvlJc w:val="left"/>
      <w:lvlText w:val="•"/>
      <w:numFmt w:val="bullet"/>
      <w:start w:val="1"/>
    </w:lvl>
  </w:abstractNum>
  <w:abstractNum w:abstractNumId="109">
    <w:nsid w:val="744939A3"/>
    <w:multiLevelType w:val="hybridMultilevel"/>
    <w:lvl w:ilvl="0">
      <w:lvlJc w:val="left"/>
      <w:lvlText w:val="•"/>
      <w:numFmt w:val="bullet"/>
      <w:start w:val="1"/>
    </w:lvl>
  </w:abstractNum>
  <w:abstractNum w:abstractNumId="110">
    <w:nsid w:val="4FA0D2E3"/>
    <w:multiLevelType w:val="hybridMultilevel"/>
    <w:lvl w:ilvl="0">
      <w:lvlJc w:val="left"/>
      <w:lvlText w:val="(%1)"/>
      <w:numFmt w:val="lowerRoman"/>
      <w:start w:val="3"/>
    </w:lvl>
  </w:abstractNum>
  <w:abstractNum w:abstractNumId="111">
    <w:nsid w:val="6B1D2C14"/>
    <w:multiLevelType w:val="hybridMultilevel"/>
    <w:lvl w:ilvl="0">
      <w:lvlJc w:val="left"/>
      <w:lvlText w:val="(%1)"/>
      <w:numFmt w:val="lowerLetter"/>
      <w:start w:val="1"/>
    </w:lvl>
  </w:abstractNum>
  <w:abstractNum w:abstractNumId="112">
    <w:nsid w:val="68B867D3"/>
    <w:multiLevelType w:val="hybridMultilevel"/>
    <w:lvl w:ilvl="0">
      <w:lvlJc w:val="left"/>
      <w:lvlText w:val="•"/>
      <w:numFmt w:val="bullet"/>
      <w:start w:val="1"/>
    </w:lvl>
  </w:abstractNum>
  <w:abstractNum w:abstractNumId="113">
    <w:nsid w:val="3F7F5DD9"/>
    <w:multiLevelType w:val="hybridMultilevel"/>
    <w:lvl w:ilvl="0">
      <w:lvlJc w:val="left"/>
      <w:lvlText w:val="•"/>
      <w:numFmt w:val="bullet"/>
      <w:start w:val="1"/>
    </w:lvl>
  </w:abstractNum>
  <w:abstractNum w:abstractNumId="114">
    <w:nsid w:val="2AE05A34"/>
    <w:multiLevelType w:val="hybridMultilevel"/>
    <w:lvl w:ilvl="0">
      <w:lvlJc w:val="left"/>
      <w:lvlText w:val="*"/>
      <w:numFmt w:val="bullet"/>
      <w:start w:val="1"/>
    </w:lvl>
  </w:abstractNum>
  <w:abstractNum w:abstractNumId="115">
    <w:nsid w:val="32794FF7"/>
    <w:multiLevelType w:val="hybridMultilevel"/>
    <w:lvl w:ilvl="0">
      <w:lvlJc w:val="left"/>
      <w:lvlText w:val="(%1)"/>
      <w:numFmt w:val="decimal"/>
      <w:start w:val="1"/>
    </w:lvl>
  </w:abstractNum>
  <w:abstractNum w:abstractNumId="116">
    <w:nsid w:val="5454945E"/>
    <w:multiLevelType w:val="hybridMultilevel"/>
    <w:lvl w:ilvl="0">
      <w:lvlJc w:val="left"/>
      <w:lvlText w:val="•"/>
      <w:numFmt w:val="bullet"/>
      <w:start w:val="1"/>
    </w:lvl>
  </w:abstractNum>
  <w:abstractNum w:abstractNumId="117">
    <w:nsid w:val="4DEFDFA0"/>
    <w:multiLevelType w:val="hybridMultilevel"/>
    <w:lvl w:ilvl="0">
      <w:lvlJc w:val="left"/>
      <w:lvlText w:val="•"/>
      <w:numFmt w:val="bullet"/>
      <w:start w:val="1"/>
    </w:lvl>
  </w:abstractNum>
  <w:abstractNum w:abstractNumId="118">
    <w:nsid w:val="2123D5F2"/>
    <w:multiLevelType w:val="hybridMultilevel"/>
    <w:lvl w:ilvl="0">
      <w:lvlJc w:val="left"/>
      <w:lvlText w:val="•"/>
      <w:numFmt w:val="bullet"/>
      <w:start w:val="1"/>
    </w:lvl>
  </w:abstractNum>
  <w:abstractNum w:abstractNumId="119">
    <w:nsid w:val="135B8110"/>
    <w:multiLevelType w:val="hybridMultilevel"/>
    <w:lvl w:ilvl="0">
      <w:lvlJc w:val="left"/>
      <w:lvlText w:val="•"/>
      <w:numFmt w:val="bullet"/>
      <w:start w:val="1"/>
    </w:lvl>
  </w:abstractNum>
  <w:abstractNum w:abstractNumId="120">
    <w:nsid w:val="94927A8"/>
    <w:multiLevelType w:val="hybridMultilevel"/>
    <w:lvl w:ilvl="0">
      <w:lvlJc w:val="left"/>
      <w:lvlText w:val="•"/>
      <w:numFmt w:val="bullet"/>
      <w:start w:val="1"/>
    </w:lvl>
  </w:abstractNum>
  <w:abstractNum w:abstractNumId="121">
    <w:nsid w:val="DCDF8F6"/>
    <w:multiLevelType w:val="hybridMultilevel"/>
    <w:lvl w:ilvl="0">
      <w:lvlJc w:val="left"/>
      <w:lvlText w:val="•"/>
      <w:numFmt w:val="bullet"/>
      <w:start w:val="1"/>
    </w:lvl>
  </w:abstractNum>
  <w:abstractNum w:abstractNumId="122">
    <w:nsid w:val="52D7B105"/>
    <w:multiLevelType w:val="hybridMultilevel"/>
    <w:lvl w:ilvl="0">
      <w:lvlJc w:val="left"/>
      <w:lvlText w:val="•"/>
      <w:numFmt w:val="bullet"/>
      <w:start w:val="1"/>
    </w:lvl>
  </w:abstractNum>
  <w:abstractNum w:abstractNumId="123">
    <w:nsid w:val="2E8A6394"/>
    <w:multiLevelType w:val="hybridMultilevel"/>
    <w:lvl w:ilvl="0">
      <w:lvlJc w:val="left"/>
      <w:lvlText w:val="•"/>
      <w:numFmt w:val="bullet"/>
      <w:start w:val="1"/>
    </w:lvl>
  </w:abstractNum>
  <w:abstractNum w:abstractNumId="124">
    <w:nsid w:val="24E60401"/>
    <w:multiLevelType w:val="hybridMultilevel"/>
    <w:lvl w:ilvl="0">
      <w:lvlJc w:val="left"/>
      <w:lvlText w:val="•"/>
      <w:numFmt w:val="bullet"/>
      <w:start w:val="1"/>
    </w:lvl>
  </w:abstractNum>
  <w:abstractNum w:abstractNumId="125">
    <w:nsid w:val="2A6AD9BE"/>
    <w:multiLevelType w:val="hybridMultilevel"/>
    <w:lvl w:ilvl="0">
      <w:lvlJc w:val="left"/>
      <w:lvlText w:val="•"/>
      <w:numFmt w:val="bullet"/>
      <w:start w:val="1"/>
    </w:lvl>
  </w:abstractNum>
  <w:abstractNum w:abstractNumId="126">
    <w:nsid w:val="BAAC1B4"/>
    <w:multiLevelType w:val="hybridMultilevel"/>
    <w:lvl w:ilvl="0">
      <w:lvlJc w:val="left"/>
      <w:lvlText w:val="•"/>
      <w:numFmt w:val="bullet"/>
      <w:start w:val="1"/>
    </w:lvl>
  </w:abstractNum>
  <w:abstractNum w:abstractNumId="127">
    <w:nsid w:val="36B2ACBC"/>
    <w:multiLevelType w:val="hybridMultilevel"/>
    <w:lvl w:ilvl="0">
      <w:lvlJc w:val="left"/>
      <w:lvlText w:val="(%1)"/>
      <w:numFmt w:val="lowerLetter"/>
      <w:start w:val="1"/>
    </w:lvl>
  </w:abstractNum>
  <w:abstractNum w:abstractNumId="128">
    <w:nsid w:val="779D8544"/>
    <w:multiLevelType w:val="hybridMultilevel"/>
    <w:lvl w:ilvl="0">
      <w:lvlJc w:val="left"/>
      <w:lvlText w:val="(%1)"/>
      <w:numFmt w:val="lowerLetter"/>
      <w:start w:val="1"/>
    </w:lvl>
  </w:abstractNum>
  <w:abstractNum w:abstractNumId="129">
    <w:nsid w:val="4AB26E78"/>
    <w:multiLevelType w:val="hybridMultilevel"/>
    <w:lvl w:ilvl="0">
      <w:lvlJc w:val="left"/>
      <w:lvlText w:val="•"/>
      <w:numFmt w:val="bullet"/>
      <w:start w:val="1"/>
    </w:lvl>
  </w:abstractNum>
  <w:abstractNum w:abstractNumId="130">
    <w:nsid w:val="21FAA2FA"/>
    <w:multiLevelType w:val="hybridMultilevel"/>
    <w:lvl w:ilvl="0">
      <w:lvlJc w:val="left"/>
      <w:lvlText w:val="(%1)"/>
      <w:numFmt w:val="lowerRoman"/>
      <w:start w:val="1"/>
    </w:lvl>
  </w:abstractNum>
  <w:abstractNum w:abstractNumId="131">
    <w:nsid w:val="5451CF49"/>
    <w:multiLevelType w:val="hybridMultilevel"/>
    <w:lvl w:ilvl="0">
      <w:lvlJc w:val="left"/>
      <w:lvlText w:val="%1."/>
      <w:numFmt w:val="decimal"/>
      <w:start w:val="1"/>
    </w:lvl>
  </w:abstractNum>
  <w:abstractNum w:abstractNumId="132">
    <w:nsid w:val="6181EF69"/>
    <w:multiLevelType w:val="hybridMultilevel"/>
    <w:lvl w:ilvl="0">
      <w:lvlJc w:val="left"/>
      <w:lvlText w:val="(%1)"/>
      <w:numFmt w:val="lowerRoman"/>
      <w:start w:val="2"/>
    </w:lvl>
  </w:abstractNum>
  <w:abstractNum w:abstractNumId="133">
    <w:nsid w:val="3E6400E6"/>
    <w:multiLevelType w:val="hybridMultilevel"/>
    <w:lvl w:ilvl="0">
      <w:lvlJc w:val="left"/>
      <w:lvlText w:val="•"/>
      <w:numFmt w:val="bullet"/>
      <w:start w:val="1"/>
    </w:lvl>
  </w:abstractNum>
  <w:abstractNum w:abstractNumId="134">
    <w:nsid w:val="14217E23"/>
    <w:multiLevelType w:val="hybridMultilevel"/>
    <w:lvl w:ilvl="0">
      <w:lvlJc w:val="left"/>
      <w:lvlText w:val="%1."/>
      <w:numFmt w:val="lowerRoman"/>
      <w:start w:val="1"/>
    </w:lvl>
  </w:abstractNum>
  <w:abstractNum w:abstractNumId="135">
    <w:nsid w:val="710757D0"/>
    <w:multiLevelType w:val="hybridMultilevel"/>
    <w:lvl w:ilvl="0">
      <w:lvlJc w:val="left"/>
      <w:lvlText w:val="%1."/>
      <w:numFmt w:val="decimal"/>
      <w:start w:val="2"/>
    </w:lvl>
  </w:abstractNum>
  <w:abstractNum w:abstractNumId="136">
    <w:nsid w:val="5015CD1A"/>
    <w:multiLevelType w:val="hybridMultilevel"/>
    <w:lvl w:ilvl="0">
      <w:lvlJc w:val="left"/>
      <w:lvlText w:val="%1."/>
      <w:numFmt w:val="decimal"/>
      <w:start w:val="3"/>
    </w:lvl>
  </w:abstractNum>
  <w:abstractNum w:abstractNumId="137">
    <w:nsid w:val="424479DA"/>
    <w:multiLevelType w:val="hybridMultilevel"/>
    <w:lvl w:ilvl="0">
      <w:lvlJc w:val="left"/>
      <w:lvlText w:val="%1."/>
      <w:numFmt w:val="decimal"/>
      <w:start w:val="4"/>
    </w:lvl>
  </w:abstractNum>
  <w:abstractNum w:abstractNumId="138">
    <w:nsid w:val="1A9A9E69"/>
    <w:multiLevelType w:val="hybridMultilevel"/>
    <w:lvl w:ilvl="0">
      <w:lvlJc w:val="left"/>
      <w:lvlText w:val="%1."/>
      <w:numFmt w:val="decimal"/>
      <w:start w:val="6"/>
    </w:lvl>
  </w:abstractNum>
  <w:abstractNum w:abstractNumId="139">
    <w:nsid w:val="475E256A"/>
    <w:multiLevelType w:val="hybridMultilevel"/>
    <w:lvl w:ilvl="0">
      <w:lvlJc w:val="left"/>
      <w:lvlText w:val="%1."/>
      <w:numFmt w:val="decimal"/>
      <w:start w:val="8"/>
    </w:lvl>
  </w:abstractNum>
  <w:abstractNum w:abstractNumId="140">
    <w:nsid w:val="368DB37E"/>
    <w:multiLevelType w:val="hybridMultilevel"/>
    <w:lvl w:ilvl="0">
      <w:lvlJc w:val="left"/>
      <w:lvlText w:val="%1."/>
      <w:numFmt w:val="decimal"/>
      <w:start w:val="9"/>
    </w:lvl>
  </w:abstractNum>
  <w:abstractNum w:abstractNumId="141">
    <w:nsid w:val="6A3B714C"/>
    <w:multiLevelType w:val="hybridMultilevel"/>
    <w:lvl w:ilvl="0">
      <w:lvlJc w:val="left"/>
      <w:lvlText w:val="%1."/>
      <w:numFmt w:val="decimal"/>
      <w:start w:val="10"/>
    </w:lvl>
  </w:abstractNum>
  <w:abstractNum w:abstractNumId="142">
    <w:nsid w:val="327B517E"/>
    <w:multiLevelType w:val="hybridMultilevel"/>
    <w:lvl w:ilvl="0">
      <w:lvlJc w:val="left"/>
      <w:lvlText w:val="%1."/>
      <w:numFmt w:val="decimal"/>
      <w:start w:val="11"/>
    </w:lvl>
  </w:abstractNum>
  <w:abstractNum w:abstractNumId="143">
    <w:nsid w:val="1F461B51"/>
    <w:multiLevelType w:val="hybridMultilevel"/>
    <w:lvl w:ilvl="0">
      <w:lvlJc w:val="left"/>
      <w:lvlText w:val="%1."/>
      <w:numFmt w:val="decimal"/>
      <w:start w:val="12"/>
    </w:lvl>
  </w:abstractNum>
  <w:abstractNum w:abstractNumId="144">
    <w:nsid w:val="29BACF25"/>
    <w:multiLevelType w:val="hybridMultilevel"/>
    <w:lvl w:ilvl="0">
      <w:lvlJc w:val="left"/>
      <w:lvlText w:val="%1."/>
      <w:numFmt w:val="decimal"/>
      <w:start w:val="13"/>
    </w:lvl>
  </w:abstractNum>
  <w:abstractNum w:abstractNumId="145">
    <w:nsid w:val="5D5BABB3"/>
    <w:multiLevelType w:val="hybridMultilevel"/>
    <w:lvl w:ilvl="0">
      <w:lvlJc w:val="left"/>
      <w:lvlText w:val="%1."/>
      <w:numFmt w:val="decimal"/>
      <w:start w:val="14"/>
    </w:lvl>
  </w:abstractNum>
  <w:abstractNum w:abstractNumId="146">
    <w:nsid w:val="51BF6B48"/>
    <w:multiLevelType w:val="hybridMultilevel"/>
    <w:lvl w:ilvl="0">
      <w:lvlJc w:val="left"/>
      <w:lvlText w:val="%1."/>
      <w:numFmt w:val="decimal"/>
      <w:start w:val="15"/>
    </w:lvl>
  </w:abstractNum>
  <w:abstractNum w:abstractNumId="147">
    <w:nsid w:val="7E0F6384"/>
    <w:multiLevelType w:val="hybridMultilevel"/>
    <w:lvl w:ilvl="0">
      <w:lvlJc w:val="left"/>
      <w:lvlText w:val="%1."/>
      <w:numFmt w:val="decimal"/>
      <w:start w:val="17"/>
    </w:lvl>
  </w:abstractNum>
  <w:abstractNum w:abstractNumId="148">
    <w:nsid w:val="2B4B8B53"/>
    <w:multiLevelType w:val="hybridMultilevel"/>
    <w:lvl w:ilvl="0">
      <w:lvlJc w:val="left"/>
      <w:lvlText w:val="%1."/>
      <w:numFmt w:val="decimal"/>
      <w:start w:val="1"/>
    </w:lvl>
  </w:abstractNum>
  <w:abstractNum w:abstractNumId="149">
    <w:nsid w:val="72E3413A"/>
    <w:multiLevelType w:val="hybridMultilevel"/>
    <w:lvl w:ilvl="0">
      <w:lvlJc w:val="left"/>
      <w:lvlText w:val="•"/>
      <w:numFmt w:val="bullet"/>
      <w:start w:val="1"/>
    </w:lvl>
  </w:abstractNum>
  <w:abstractNum w:abstractNumId="150">
    <w:nsid w:val="116AE494"/>
    <w:multiLevelType w:val="hybridMultilevel"/>
    <w:lvl w:ilvl="0">
      <w:lvlJc w:val="left"/>
      <w:lvlText w:val="%1."/>
      <w:numFmt w:val="decimal"/>
      <w:start w:val="2"/>
    </w:lvl>
  </w:abstractNum>
  <w:abstractNum w:abstractNumId="151">
    <w:nsid w:val="3494B2FB"/>
    <w:multiLevelType w:val="hybridMultilevel"/>
    <w:lvl w:ilvl="0">
      <w:lvlJc w:val="left"/>
      <w:lvlText w:val="%1."/>
      <w:numFmt w:val="decimal"/>
      <w:start w:val="3"/>
    </w:lvl>
  </w:abstractNum>
  <w:abstractNum w:abstractNumId="152">
    <w:nsid w:val="B13A31"/>
    <w:multiLevelType w:val="hybridMultilevel"/>
    <w:lvl w:ilvl="0">
      <w:lvlJc w:val="left"/>
      <w:lvlText w:val="%1."/>
      <w:numFmt w:val="decimal"/>
      <w:start w:val="4"/>
    </w:lvl>
  </w:abstractNum>
  <w:abstractNum w:abstractNumId="153">
    <w:nsid w:val="64429599"/>
    <w:multiLevelType w:val="hybridMultilevel"/>
    <w:lvl w:ilvl="0">
      <w:lvlJc w:val="left"/>
      <w:lvlText w:val="%1."/>
      <w:numFmt w:val="decimal"/>
      <w:start w:val="6"/>
    </w:lvl>
  </w:abstractNum>
  <w:abstractNum w:abstractNumId="154">
    <w:nsid w:val="631F1690"/>
    <w:multiLevelType w:val="hybridMultilevel"/>
    <w:lvl w:ilvl="0">
      <w:lvlJc w:val="left"/>
      <w:lvlText w:val="%1."/>
      <w:numFmt w:val="decimal"/>
      <w:start w:val="8"/>
    </w:lvl>
  </w:abstractNum>
  <w:abstractNum w:abstractNumId="155">
    <w:nsid w:val="25973E32"/>
    <w:multiLevelType w:val="hybridMultilevel"/>
    <w:lvl w:ilvl="0">
      <w:lvlJc w:val="left"/>
      <w:lvlText w:val="%1."/>
      <w:numFmt w:val="decimal"/>
      <w:start w:val="9"/>
    </w:lvl>
  </w:abstractNum>
  <w:abstractNum w:abstractNumId="156">
    <w:nsid w:val="EAD6F57"/>
    <w:multiLevelType w:val="hybridMultilevel"/>
    <w:lvl w:ilvl="0">
      <w:lvlJc w:val="left"/>
      <w:lvlText w:val="%1."/>
      <w:numFmt w:val="decimal"/>
      <w:start w:val="10"/>
    </w:lvl>
  </w:abstractNum>
  <w:abstractNum w:abstractNumId="157">
    <w:nsid w:val="6EC9D844"/>
    <w:multiLevelType w:val="hybridMultilevel"/>
    <w:lvl w:ilvl="0">
      <w:lvlJc w:val="left"/>
      <w:lvlText w:val="%1."/>
      <w:numFmt w:val="decimal"/>
      <w:start w:val="11"/>
    </w:lvl>
  </w:abstractNum>
  <w:abstractNum w:abstractNumId="158">
    <w:nsid w:val="5C49EAEE"/>
    <w:multiLevelType w:val="hybridMultilevel"/>
    <w:lvl w:ilvl="0">
      <w:lvlJc w:val="left"/>
      <w:lvlText w:val="%1."/>
      <w:numFmt w:val="decimal"/>
      <w:start w:val="12"/>
    </w:lvl>
  </w:abstractNum>
  <w:abstractNum w:abstractNumId="159">
    <w:nsid w:val="64AF49B"/>
    <w:multiLevelType w:val="hybridMultilevel"/>
    <w:lvl w:ilvl="0">
      <w:lvlJc w:val="left"/>
      <w:lvlText w:val="%1."/>
      <w:numFmt w:val="decimal"/>
      <w:start w:val="13"/>
    </w:lvl>
  </w:abstractNum>
  <w:abstractNum w:abstractNumId="160">
    <w:nsid w:val="397C46BC"/>
    <w:multiLevelType w:val="hybridMultilevel"/>
    <w:lvl w:ilvl="0">
      <w:lvlJc w:val="left"/>
      <w:lvlText w:val="%1."/>
      <w:numFmt w:val="decimal"/>
      <w:start w:val="14"/>
    </w:lvl>
  </w:abstractNum>
  <w:abstractNum w:abstractNumId="161">
    <w:nsid w:val="7E448DE9"/>
    <w:multiLevelType w:val="hybridMultilevel"/>
    <w:lvl w:ilvl="0">
      <w:lvlJc w:val="left"/>
      <w:lvlText w:val="*"/>
      <w:numFmt w:val="bullet"/>
      <w:start w:val="1"/>
    </w:lvl>
  </w:abstractNum>
  <w:abstractNum w:abstractNumId="162">
    <w:nsid w:val="5A9CC3E5"/>
    <w:multiLevelType w:val="hybridMultilevel"/>
    <w:lvl w:ilvl="0">
      <w:lvlJc w:val="left"/>
      <w:lvlText w:val="(%1)"/>
      <w:numFmt w:val="decimal"/>
      <w:start w:val="2"/>
    </w:lvl>
  </w:abstractNum>
  <w:abstractNum w:abstractNumId="163">
    <w:nsid w:val="1AFE3625"/>
    <w:multiLevelType w:val="hybridMultilevel"/>
    <w:lvl w:ilvl="0">
      <w:lvlJc w:val="left"/>
      <w:lvlText w:val="(%1)"/>
      <w:numFmt w:val="lowerLetter"/>
      <w:start w:val="2"/>
    </w:lvl>
  </w:abstractNum>
  <w:abstractNum w:abstractNumId="164">
    <w:nsid w:val="3CA88ECF"/>
    <w:multiLevelType w:val="hybridMultilevel"/>
    <w:lvl w:ilvl="0">
      <w:lvlJc w:val="left"/>
      <w:lvlText w:val="(%1)"/>
      <w:numFmt w:val="lowerLetter"/>
      <w:start w:val="1"/>
    </w:lvl>
    <w:lvl w:ilvl="1">
      <w:lvlJc w:val="left"/>
      <w:lvlText w:val="(%2)"/>
      <w:numFmt w:val="decimal"/>
      <w:start w:val="1"/>
    </w:lvl>
  </w:abstractNum>
  <w:abstractNum w:abstractNumId="165">
    <w:nsid w:val="6EBE4208"/>
    <w:multiLevelType w:val="hybridMultilevel"/>
    <w:lvl w:ilvl="0">
      <w:lvlJc w:val="left"/>
      <w:lvlText w:val="[•]"/>
      <w:numFmt w:val="bullet"/>
      <w:start w:val="1"/>
    </w:lvl>
  </w:abstractNum>
  <w:abstractNum w:abstractNumId="166">
    <w:nsid w:val="C058DF5"/>
    <w:multiLevelType w:val="hybridMultilevel"/>
    <w:lvl w:ilvl="0">
      <w:lvlJc w:val="left"/>
      <w:lvlText w:val="(%1)"/>
      <w:numFmt w:val="lowerLetter"/>
      <w:start w:val="1"/>
    </w:lvl>
    <w:lvl w:ilvl="1">
      <w:lvlJc w:val="left"/>
      <w:lvlText w:val="(%2)"/>
      <w:numFmt w:val="lowerLetter"/>
      <w:start w:val="9"/>
    </w:lvl>
  </w:abstractNum>
  <w:abstractNum w:abstractNumId="167">
    <w:nsid w:val="CBE5BE9"/>
    <w:multiLevelType w:val="hybridMultilevel"/>
    <w:lvl w:ilvl="0">
      <w:lvlJc w:val="left"/>
      <w:lvlText w:val="(%1)"/>
      <w:numFmt w:val="lowerRoman"/>
      <w:start w:val="2"/>
    </w:lvl>
  </w:abstractNum>
  <w:abstractNum w:abstractNumId="168">
    <w:nsid w:val="3102BBE2"/>
    <w:multiLevelType w:val="hybridMultilevel"/>
    <w:lvl w:ilvl="0">
      <w:lvlJc w:val="left"/>
      <w:lvlText w:val="%1"/>
      <w:numFmt w:val="lowerLetter"/>
      <w:start w:val="1"/>
    </w:lvl>
    <w:lvl w:ilvl="1">
      <w:lvlJc w:val="left"/>
      <w:lvlText w:val="(%2)"/>
      <w:numFmt w:val="lowerRoman"/>
      <w:start w:val="4"/>
    </w:lvl>
  </w:abstractNum>
  <w:abstractNum w:abstractNumId="169">
    <w:nsid w:val="26A02C5E"/>
    <w:multiLevelType w:val="hybridMultilevel"/>
    <w:lvl w:ilvl="0">
      <w:lvlJc w:val="left"/>
      <w:lvlText w:val="(%1)"/>
      <w:numFmt w:val="lowerLetter"/>
      <w:start w:val="25"/>
    </w:lvl>
    <w:lvl w:ilvl="1">
      <w:lvlJc w:val="left"/>
      <w:lvlText w:val="%2"/>
      <w:numFmt w:val="lowerRoman"/>
      <w:start w:val="1"/>
    </w:lvl>
  </w:abstractNum>
  <w:abstractNum w:abstractNumId="170">
    <w:nsid w:val="541C8153"/>
    <w:multiLevelType w:val="hybridMultilevel"/>
    <w:lvl w:ilvl="0">
      <w:lvlJc w:val="left"/>
      <w:lvlText w:val="(%1)"/>
      <w:numFmt w:val="lowerRoman"/>
      <w:start w:val="7"/>
    </w:lvl>
  </w:abstractNum>
  <w:abstractNum w:abstractNumId="171">
    <w:nsid w:val="67906F60"/>
    <w:multiLevelType w:val="hybridMultilevel"/>
    <w:lvl w:ilvl="0">
      <w:lvlJc w:val="left"/>
      <w:lvlText w:val="(%1)"/>
      <w:numFmt w:val="lowerRoman"/>
      <w:start w:val="12"/>
    </w:lvl>
  </w:abstractNum>
  <w:abstractNum w:abstractNumId="172">
    <w:nsid w:val="10DB9DAA"/>
    <w:multiLevelType w:val="hybridMultilevel"/>
    <w:lvl w:ilvl="0">
      <w:lvlJc w:val="left"/>
      <w:lvlText w:val="(%1)"/>
      <w:numFmt w:val="lowerRoman"/>
      <w:start w:val="16"/>
    </w:lvl>
  </w:abstractNum>
  <w:abstractNum w:abstractNumId="173">
    <w:nsid w:val="697D2D2"/>
    <w:multiLevelType w:val="hybridMultilevel"/>
    <w:lvl w:ilvl="0">
      <w:lvlJc w:val="left"/>
      <w:lvlText w:val="(%1)"/>
      <w:numFmt w:val="lowerRoman"/>
      <w:start w:val="23"/>
    </w:lvl>
  </w:abstractNum>
  <w:abstractNum w:abstractNumId="174">
    <w:nsid w:val="6D68AB2"/>
    <w:multiLevelType w:val="hybridMultilevel"/>
    <w:lvl w:ilvl="0">
      <w:lvlJc w:val="left"/>
      <w:lvlText w:val="(%1)"/>
      <w:numFmt w:val="lowerRoman"/>
      <w:start w:val="26"/>
    </w:lvl>
  </w:abstractNum>
  <w:abstractNum w:abstractNumId="175">
    <w:nsid w:val="3A966CD0"/>
    <w:multiLevelType w:val="hybridMultilevel"/>
    <w:lvl w:ilvl="0">
      <w:lvlJc w:val="left"/>
      <w:lvlText w:val="(%1)"/>
      <w:numFmt w:val="lowerRoman"/>
      <w:start w:val="29"/>
    </w:lvl>
  </w:abstractNum>
  <w:abstractNum w:abstractNumId="176">
    <w:nsid w:val="63F37E85"/>
    <w:multiLevelType w:val="hybridMultilevel"/>
    <w:lvl w:ilvl="0">
      <w:lvlJc w:val="left"/>
      <w:lvlText w:val="(%1)"/>
      <w:numFmt w:val="lowerRoman"/>
      <w:start w:val="33"/>
    </w:lvl>
  </w:abstractNum>
  <w:abstractNum w:abstractNumId="177">
    <w:nsid w:val="5895F5FA"/>
    <w:multiLevelType w:val="hybridMultilevel"/>
    <w:lvl w:ilvl="0">
      <w:lvlJc w:val="left"/>
      <w:lvlText w:val="%1"/>
      <w:numFmt w:val="upperLetter"/>
      <w:start w:val="1"/>
    </w:lvl>
    <w:lvl w:ilvl="1">
      <w:lvlJc w:val="left"/>
      <w:lvlText w:val="(%2)"/>
      <w:numFmt w:val="lowerRoman"/>
      <w:start w:val="36"/>
    </w:lvl>
  </w:abstractNum>
  <w:abstractNum w:abstractNumId="178">
    <w:nsid w:val="38A5D054"/>
    <w:multiLevelType w:val="hybridMultilevel"/>
    <w:lvl w:ilvl="0">
      <w:lvlJc w:val="left"/>
      <w:lvlText w:val="(%1)"/>
      <w:numFmt w:val="lowerRoman"/>
      <w:start w:val="38"/>
    </w:lvl>
  </w:abstractNum>
  <w:abstractNum w:abstractNumId="179">
    <w:nsid w:val="F3F09D8"/>
    <w:multiLevelType w:val="hybridMultilevel"/>
    <w:lvl w:ilvl="0">
      <w:lvlJc w:val="left"/>
      <w:lvlText w:val="(%1)"/>
      <w:numFmt w:val="lowerLetter"/>
      <w:start w:val="2"/>
    </w:lvl>
    <w:lvl w:ilvl="1">
      <w:lvlJc w:val="left"/>
      <w:lvlText w:val="(%2)"/>
      <w:numFmt w:val="lowerRoman"/>
      <w:start w:val="1"/>
    </w:lvl>
  </w:abstractNum>
  <w:abstractNum w:abstractNumId="180">
    <w:nsid w:val="4B793735"/>
    <w:multiLevelType w:val="hybridMultilevel"/>
    <w:lvl w:ilvl="0">
      <w:lvlJc w:val="left"/>
      <w:lvlText w:val="(%1)"/>
      <w:numFmt w:val="lowerRoman"/>
      <w:start w:val="4"/>
    </w:lvl>
  </w:abstractNum>
  <w:abstractNum w:abstractNumId="181">
    <w:nsid w:val="4A10B4E8"/>
    <w:multiLevelType w:val="hybridMultilevel"/>
    <w:lvl w:ilvl="0">
      <w:lvlJc w:val="left"/>
      <w:lvlText w:val="%1"/>
      <w:numFmt w:val="decimal"/>
      <w:start w:val="1"/>
    </w:lvl>
    <w:lvl w:ilvl="1">
      <w:lvlJc w:val="left"/>
      <w:lvlText w:val="(%2)"/>
      <w:numFmt w:val="lowerRoman"/>
      <w:start w:val="9"/>
    </w:lvl>
  </w:abstractNum>
  <w:abstractNum w:abstractNumId="182">
    <w:nsid w:val="43D3BCD4"/>
    <w:multiLevelType w:val="hybridMultilevel"/>
    <w:lvl w:ilvl="0">
      <w:lvlJc w:val="left"/>
      <w:lvlText w:val="%1."/>
      <w:numFmt w:val="decimal"/>
      <w:start w:val="2"/>
    </w:lvl>
    <w:lvl w:ilvl="1">
      <w:lvlJc w:val="left"/>
      <w:lvlText w:val="%2"/>
      <w:numFmt w:val="lowerRoman"/>
      <w:start w:val="1"/>
    </w:lvl>
  </w:abstractNum>
  <w:abstractNum w:abstractNumId="183">
    <w:nsid w:val="4C2A7166"/>
    <w:multiLevelType w:val="hybridMultilevel"/>
    <w:lvl w:ilvl="0">
      <w:lvlJc w:val="left"/>
      <w:lvlText w:val="%1."/>
      <w:numFmt w:val="decimal"/>
      <w:start w:val="3"/>
    </w:lvl>
  </w:abstractNum>
  <w:abstractNum w:abstractNumId="184">
    <w:nsid w:val="2E534A82"/>
    <w:multiLevelType w:val="hybridMultilevel"/>
    <w:lvl w:ilvl="0">
      <w:lvlJc w:val="left"/>
      <w:lvlText w:val="(%1)"/>
      <w:numFmt w:val="lowerLetter"/>
      <w:start w:val="1"/>
    </w:lvl>
  </w:abstractNum>
  <w:abstractNum w:abstractNumId="185">
    <w:nsid w:val="26F2D364"/>
    <w:multiLevelType w:val="hybridMultilevel"/>
    <w:lvl w:ilvl="0">
      <w:lvlJc w:val="left"/>
      <w:lvlText w:val="(%1)"/>
      <w:numFmt w:val="lowerLetter"/>
      <w:start w:val="2"/>
    </w:lvl>
  </w:abstractNum>
  <w:abstractNum w:abstractNumId="186">
    <w:nsid w:val="71C1AF98"/>
    <w:multiLevelType w:val="hybridMultilevel"/>
    <w:lvl w:ilvl="0">
      <w:lvlJc w:val="left"/>
      <w:lvlText w:val="%1."/>
      <w:numFmt w:val="decimal"/>
      <w:start w:val="5"/>
    </w:lvl>
  </w:abstractNum>
  <w:abstractNum w:abstractNumId="187">
    <w:nsid w:val="3D00B9D9"/>
    <w:multiLevelType w:val="hybridMultilevel"/>
    <w:lvl w:ilvl="0">
      <w:lvlJc w:val="left"/>
      <w:lvlText w:val="(%1)"/>
      <w:numFmt w:val="lowerLetter"/>
      <w:start w:val="1"/>
    </w:lvl>
  </w:abstractNum>
  <w:abstractNum w:abstractNumId="188">
    <w:nsid w:val="15BCABA8"/>
    <w:multiLevelType w:val="hybridMultilevel"/>
    <w:lvl w:ilvl="0">
      <w:lvlJc w:val="left"/>
      <w:lvlText w:val="(%1)"/>
      <w:numFmt w:val="lowerLetter"/>
      <w:start w:val="4"/>
    </w:lvl>
  </w:abstractNum>
  <w:abstractNum w:abstractNumId="189">
    <w:nsid w:val="4E0B9A87"/>
    <w:multiLevelType w:val="hybridMultilevel"/>
    <w:lvl w:ilvl="0">
      <w:lvlJc w:val="left"/>
      <w:lvlText w:val="(%1)"/>
      <w:numFmt w:val="lowerLetter"/>
      <w:start w:val="6"/>
    </w:lvl>
  </w:abstractNum>
  <w:abstractNum w:abstractNumId="190">
    <w:nsid w:val="434BAE75"/>
    <w:multiLevelType w:val="hybridMultilevel"/>
    <w:lvl w:ilvl="0">
      <w:lvlJc w:val="left"/>
      <w:lvlText w:val="%1"/>
      <w:numFmt w:val="lowerLetter"/>
      <w:start w:val="1"/>
    </w:lvl>
    <w:lvl w:ilvl="1">
      <w:lvlJc w:val="left"/>
      <w:lvlText w:val="(%2)"/>
      <w:numFmt w:val="lowerLetter"/>
      <w:start w:val="8"/>
    </w:lvl>
  </w:abstractNum>
  <w:abstractNum w:abstractNumId="191">
    <w:nsid w:val="4F38F265"/>
    <w:multiLevelType w:val="hybridMultilevel"/>
    <w:lvl w:ilvl="0">
      <w:lvlJc w:val="left"/>
      <w:lvlText w:val="(%1)"/>
      <w:numFmt w:val="lowerLetter"/>
      <w:start w:val="9"/>
    </w:lvl>
    <w:lvl w:ilvl="1">
      <w:lvlJc w:val="left"/>
      <w:lvlText w:val="%2"/>
      <w:numFmt w:val="lowerLetter"/>
      <w:start w:val="1"/>
    </w:lvl>
  </w:abstractNum>
  <w:abstractNum w:abstractNumId="192">
    <w:nsid w:val="4C502870"/>
    <w:multiLevelType w:val="hybridMultilevel"/>
    <w:lvl w:ilvl="0">
      <w:lvlJc w:val="left"/>
      <w:lvlText w:val="(%1)"/>
      <w:numFmt w:val="lowerLetter"/>
      <w:start w:val="1"/>
    </w:lvl>
  </w:abstractNum>
  <w:abstractNum w:abstractNumId="193">
    <w:nsid w:val="1DE8725A"/>
    <w:multiLevelType w:val="hybridMultilevel"/>
    <w:lvl w:ilvl="0">
      <w:lvlJc w:val="left"/>
      <w:lvlText w:val="(%1)"/>
      <w:numFmt w:val="lowerLetter"/>
      <w:start w:val="4"/>
    </w:lvl>
  </w:abstractNum>
  <w:abstractNum w:abstractNumId="194">
    <w:nsid w:val="6A37288A"/>
    <w:multiLevelType w:val="hybridMultilevel"/>
    <w:lvl w:ilvl="0">
      <w:lvlJc w:val="left"/>
      <w:lvlText w:val="%1"/>
      <w:numFmt w:val="lowerRoman"/>
      <w:start w:val="1"/>
    </w:lvl>
    <w:lvl w:ilvl="1">
      <w:lvlJc w:val="left"/>
      <w:lvlText w:val="%2."/>
      <w:numFmt w:val="decimal"/>
      <w:start w:val="7"/>
    </w:lvl>
  </w:abstractNum>
  <w:abstractNum w:abstractNumId="195">
    <w:nsid w:val="8F8B73F"/>
    <w:multiLevelType w:val="hybridMultilevel"/>
    <w:lvl w:ilvl="0">
      <w:lvlJc w:val="left"/>
      <w:lvlText w:val="(%1)"/>
      <w:numFmt w:val="lowerRoman"/>
      <w:start w:val="7"/>
    </w:lvl>
    <w:lvl w:ilvl="1">
      <w:lvlJc w:val="left"/>
      <w:lvlText w:val="%2"/>
      <w:numFmt w:val="decimal"/>
      <w:start w:val="1"/>
    </w:lvl>
  </w:abstractNum>
  <w:abstractNum w:abstractNumId="196">
    <w:nsid w:val="CA6B462"/>
    <w:multiLevelType w:val="hybridMultilevel"/>
    <w:lvl w:ilvl="0">
      <w:lvlJc w:val="left"/>
      <w:lvlText w:val="%1."/>
      <w:numFmt w:val="decimal"/>
      <w:start w:val="8"/>
    </w:lvl>
  </w:abstractNum>
  <w:abstractNum w:abstractNumId="197">
    <w:nsid w:val="763CB680"/>
    <w:multiLevelType w:val="hybridMultilevel"/>
    <w:lvl w:ilvl="0">
      <w:lvlJc w:val="left"/>
      <w:lvlText w:val="(%1)"/>
      <w:numFmt w:val="lowerLetter"/>
      <w:start w:val="1"/>
    </w:lvl>
  </w:abstractNum>
  <w:abstractNum w:abstractNumId="198">
    <w:nsid w:val="15B71329"/>
    <w:multiLevelType w:val="hybridMultilevel"/>
    <w:lvl w:ilvl="0">
      <w:lvlJc w:val="left"/>
      <w:lvlText w:val="(%1)"/>
      <w:numFmt w:val="lowerLetter"/>
      <w:start w:val="7"/>
    </w:lvl>
  </w:abstractNum>
  <w:abstractNum w:abstractNumId="199">
    <w:nsid w:val="3DA97044"/>
    <w:multiLevelType w:val="hybridMultilevel"/>
    <w:lvl w:ilvl="0">
      <w:lvlJc w:val="left"/>
      <w:lvlText w:val="(%1)"/>
      <w:numFmt w:val="lowerLetter"/>
      <w:start w:val="14"/>
    </w:lvl>
  </w:abstractNum>
  <w:abstractNum w:abstractNumId="200">
    <w:nsid w:val="1CDCE2DE"/>
    <w:multiLevelType w:val="hybridMultilevel"/>
    <w:lvl w:ilvl="0">
      <w:lvlJc w:val="left"/>
      <w:lvlText w:val="(%1)"/>
      <w:numFmt w:val="lowerLetter"/>
      <w:start w:val="1"/>
    </w:lvl>
  </w:abstractNum>
  <w:abstractNum w:abstractNumId="201">
    <w:nsid w:val="69D3947C"/>
    <w:multiLevelType w:val="hybridMultilevel"/>
    <w:lvl w:ilvl="0">
      <w:lvlJc w:val="left"/>
      <w:lvlText w:val="(%1)"/>
      <w:numFmt w:val="lowerLetter"/>
      <w:start w:val="3"/>
    </w:lvl>
  </w:abstractNum>
  <w:abstractNum w:abstractNumId="202">
    <w:nsid w:val="2539DFA5"/>
    <w:multiLevelType w:val="hybridMultilevel"/>
    <w:lvl w:ilvl="0">
      <w:lvlJc w:val="left"/>
      <w:lvlText w:val="(%1)"/>
      <w:numFmt w:val="lowerLetter"/>
      <w:start w:val="5"/>
    </w:lvl>
  </w:abstractNum>
  <w:abstractNum w:abstractNumId="203">
    <w:nsid w:val="2DB88089"/>
    <w:multiLevelType w:val="hybridMultilevel"/>
    <w:lvl w:ilvl="0">
      <w:lvlJc w:val="left"/>
      <w:lvlText w:val="(%1)"/>
      <w:numFmt w:val="lowerLetter"/>
      <w:start w:val="6"/>
    </w:lvl>
  </w:abstractNum>
  <w:abstractNum w:abstractNumId="204">
    <w:nsid w:val="706B674E"/>
    <w:multiLevelType w:val="hybridMultilevel"/>
    <w:lvl w:ilvl="0">
      <w:lvlJc w:val="left"/>
      <w:lvlText w:val="(%1)"/>
      <w:numFmt w:val="lowerLetter"/>
      <w:start w:val="1"/>
    </w:lvl>
  </w:abstractNum>
  <w:abstractNum w:abstractNumId="205">
    <w:nsid w:val="2C106A57"/>
    <w:multiLevelType w:val="hybridMultilevel"/>
    <w:lvl w:ilvl="0">
      <w:lvlJc w:val="left"/>
      <w:lvlText w:val="(%1)"/>
      <w:numFmt w:val="lowerLetter"/>
      <w:start w:val="2"/>
    </w:lvl>
  </w:abstractNum>
  <w:abstractNum w:abstractNumId="206">
    <w:nsid w:val="684EED59"/>
    <w:multiLevelType w:val="hybridMultilevel"/>
    <w:lvl w:ilvl="0">
      <w:lvlJc w:val="left"/>
      <w:lvlText w:val="%1."/>
      <w:numFmt w:val="decimal"/>
      <w:start w:val="11"/>
    </w:lvl>
  </w:abstractNum>
  <w:abstractNum w:abstractNumId="207">
    <w:nsid w:val="545EE5D3"/>
    <w:multiLevelType w:val="hybridMultilevel"/>
    <w:lvl w:ilvl="0">
      <w:lvlJc w:val="left"/>
      <w:lvlText w:val="%1."/>
      <w:numFmt w:val="decimal"/>
      <w:start w:val="13"/>
    </w:lvl>
  </w:abstractNum>
  <w:abstractNum w:abstractNumId="208">
    <w:nsid w:val="4A66051"/>
    <w:multiLevelType w:val="hybridMultilevel"/>
    <w:lvl w:ilvl="0">
      <w:lvlJc w:val="left"/>
      <w:lvlText w:val="%1."/>
      <w:numFmt w:val="decimal"/>
      <w:start w:val="14"/>
    </w:lvl>
  </w:abstractNum>
  <w:abstractNum w:abstractNumId="209">
    <w:nsid w:val="20F4BDAD"/>
    <w:multiLevelType w:val="hybridMultilevel"/>
    <w:lvl w:ilvl="0">
      <w:lvlJc w:val="left"/>
      <w:lvlText w:val="%1."/>
      <w:numFmt w:val="decimal"/>
      <w:start w:val="15"/>
    </w:lvl>
  </w:abstractNum>
  <w:abstractNum w:abstractNumId="210">
    <w:nsid w:val="639DEFAC"/>
    <w:multiLevelType w:val="hybridMultilevel"/>
    <w:lvl w:ilvl="0">
      <w:lvlJc w:val="left"/>
      <w:lvlText w:val="%1."/>
      <w:numFmt w:val="decimal"/>
      <w:start w:val="21"/>
    </w:lvl>
  </w:abstractNum>
  <w:abstractNum w:abstractNumId="211">
    <w:nsid w:val="501F9786"/>
    <w:multiLevelType w:val="hybridMultilevel"/>
    <w:lvl w:ilvl="0">
      <w:lvlJc w:val="left"/>
      <w:lvlText w:val="(%1)"/>
      <w:numFmt w:val="lowerLetter"/>
      <w:start w:val="1"/>
    </w:lvl>
  </w:abstractNum>
  <w:abstractNum w:abstractNumId="212">
    <w:nsid w:val="6B057295"/>
    <w:multiLevelType w:val="hybridMultilevel"/>
    <w:lvl w:ilvl="0">
      <w:lvlJc w:val="left"/>
      <w:lvlText w:val="(%1)"/>
      <w:numFmt w:val="lowerRoman"/>
      <w:start w:val="1"/>
    </w:lvl>
  </w:abstractNum>
  <w:abstractNum w:abstractNumId="213">
    <w:nsid w:val="2771AC80"/>
    <w:multiLevelType w:val="hybridMultilevel"/>
    <w:lvl w:ilvl="0">
      <w:lvlJc w:val="left"/>
      <w:lvlText w:val="(%1)"/>
      <w:numFmt w:val="lowerLetter"/>
      <w:start w:val="1"/>
    </w:lvl>
  </w:abstractNum>
  <w:abstractNum w:abstractNumId="214">
    <w:nsid w:val="1C4A08EC"/>
    <w:multiLevelType w:val="hybridMultilevel"/>
    <w:lvl w:ilvl="0">
      <w:lvlJc w:val="left"/>
      <w:lvlText w:val="(%1)"/>
      <w:numFmt w:val="lowerLetter"/>
      <w:start w:val="3"/>
    </w:lvl>
  </w:abstractNum>
  <w:abstractNum w:abstractNumId="215">
    <w:nsid w:val="1958BD17"/>
    <w:multiLevelType w:val="hybridMultilevel"/>
    <w:lvl w:ilvl="0">
      <w:lvlJc w:val="left"/>
      <w:lvlText w:val="(%1)"/>
      <w:numFmt w:val="lowerRoman"/>
      <w:start w:val="1"/>
    </w:lvl>
  </w:abstractNum>
  <w:abstractNum w:abstractNumId="216">
    <w:nsid w:val="4E647FE4"/>
    <w:multiLevelType w:val="hybridMultilevel"/>
    <w:lvl w:ilvl="0">
      <w:lvlJc w:val="left"/>
      <w:lvlText w:val="(%1)"/>
      <w:numFmt w:val="lowerRoman"/>
      <w:start w:val="5"/>
    </w:lvl>
  </w:abstractNum>
  <w:abstractNum w:abstractNumId="217">
    <w:nsid w:val="E0BB885"/>
    <w:multiLevelType w:val="hybridMultilevel"/>
    <w:lvl w:ilvl="0">
      <w:lvlJc w:val="left"/>
      <w:lvlText w:val="(%1)"/>
      <w:numFmt w:val="lowerRoman"/>
      <w:start w:val="10"/>
    </w:lvl>
  </w:abstractNum>
  <w:abstractNum w:abstractNumId="218">
    <w:nsid w:val="565976F1"/>
    <w:multiLevelType w:val="hybridMultilevel"/>
    <w:lvl w:ilvl="0">
      <w:lvlJc w:val="left"/>
      <w:lvlText w:val="1"/>
      <w:numFmt w:val="bullet"/>
      <w:start w:val="1"/>
    </w:lvl>
  </w:abstractNum>
  <w:abstractNum w:abstractNumId="219">
    <w:nsid w:val="64212B8C"/>
    <w:multiLevelType w:val="hybridMultilevel"/>
    <w:lvl w:ilvl="0">
      <w:lvlJc w:val="left"/>
      <w:lvlText w:val="%1"/>
      <w:numFmt w:val="upperLetter"/>
      <w:start w:val="1"/>
    </w:lvl>
    <w:lvl w:ilvl="1">
      <w:lvlJc w:val="left"/>
      <w:lvlText w:val="%2."/>
      <w:numFmt w:val="decimal"/>
      <w:start w:val="15"/>
    </w:lvl>
  </w:abstractNum>
  <w:abstractNum w:abstractNumId="220">
    <w:nsid w:val="5C17530C"/>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jpe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23" Type="http://schemas.openxmlformats.org/officeDocument/2006/relationships/hyperlink" Target="https://www.sec.gov/Archives/edgar/data/1759655/000119312521108380/d92164dex31.htm" TargetMode="External"/><Relationship Id="rId324" Type="http://schemas.openxmlformats.org/officeDocument/2006/relationships/hyperlink" Target="https://www.sec.gov/Archives/edgar/data/1759655/000119312521108380/d92164dex32.htm" TargetMode="External"/><Relationship Id="rId325" Type="http://schemas.openxmlformats.org/officeDocument/2006/relationships/hyperlink" Target="https://www.sec.gov/Archives/edgar/data/1759655/000119312521108380/d92164dex41.htm" TargetMode="External"/><Relationship Id="rId326" Type="http://schemas.openxmlformats.org/officeDocument/2006/relationships/hyperlink" Target="https://www.sec.gov/Archives/edgar/data/1759655/000119312521108380/d92164dex101.htm" TargetMode="External"/><Relationship Id="rId327" Type="http://schemas.openxmlformats.org/officeDocument/2006/relationships/hyperlink" Target="https://www.sec.gov/Archives/edgar/data/1759655/000119312521108380/d92164dex102.htm" TargetMode="External"/><Relationship Id="rId328" Type="http://schemas.openxmlformats.org/officeDocument/2006/relationships/hyperlink" Target="https://www.sec.gov/Archives/edgar/data/1759655/000119312521108380/d92164dex103.htm" TargetMode="External"/><Relationship Id="rId329" Type="http://schemas.openxmlformats.org/officeDocument/2006/relationships/hyperlink" Target="https://www.sec.gov/Archives/edgar/data/1759655/000119312521108380/d92164dex104.htm" TargetMode="External"/><Relationship Id="rId330" Type="http://schemas.openxmlformats.org/officeDocument/2006/relationships/hyperlink" Target="https://www.sec.gov/Archives/edgar/data/1759655/000119312521125586/d92164dex105.htm" TargetMode="External"/><Relationship Id="rId331" Type="http://schemas.openxmlformats.org/officeDocument/2006/relationships/hyperlink" Target="https://www.sec.gov/Archives/edgar/data/1759655/000119312521125586/d92164dex106.htm" TargetMode="External"/><Relationship Id="rId332" Type="http://schemas.openxmlformats.org/officeDocument/2006/relationships/hyperlink" Target="https://www.sec.gov/Archives/edgar/data/1759655/000119312521125586/d92164dex107.htm" TargetMode="External"/><Relationship Id="rId333" Type="http://schemas.openxmlformats.org/officeDocument/2006/relationships/hyperlink" Target="https://www.sec.gov/Archives/edgar/data/1759655/000119312521125586/d92164dex108.htm" TargetMode="External"/><Relationship Id="rId334" Type="http://schemas.openxmlformats.org/officeDocument/2006/relationships/hyperlink" Target="https://www.sec.gov/Archives/edgar/data/1759655/000119312521125586/d92164dex109.htm" TargetMode="External"/><Relationship Id="rId335" Type="http://schemas.openxmlformats.org/officeDocument/2006/relationships/hyperlink" Target="https://www.sec.gov/Archives/edgar/data/1759655/000119312521125586/d92164dex1010.htm" TargetMode="External"/><Relationship Id="rId336" Type="http://schemas.openxmlformats.org/officeDocument/2006/relationships/hyperlink" Target="https://www.sec.gov/Archives/edgar/data/1759655/000119312521125586/d9216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2021-11-16T16:25:33Z</dcterms:created>
  <dcterms:modified xsi:type="dcterms:W3CDTF">2021-11-16T16:25:33Z</dcterms:modified>
</cp:coreProperties>
</file>