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64"/>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gridSpan w:val="6"/>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Commission file number 001-40365</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77"/>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40" w:type="dxa"/>
            <w:vAlign w:val="bottom"/>
            <w:gridSpan w:val="7"/>
          </w:tcPr>
          <w:p>
            <w:pPr>
              <w:jc w:val="center"/>
              <w:ind w:right="1510"/>
              <w:spacing w:after="0"/>
              <w:rPr>
                <w:sz w:val="20"/>
                <w:szCs w:val="20"/>
                <w:color w:val="auto"/>
              </w:rPr>
            </w:pPr>
            <w:r>
              <w:rPr>
                <w:rFonts w:ascii="Times New Roman" w:cs="Times New Roman" w:eastAsia="Times New Roman" w:hAnsi="Times New Roman"/>
                <w:sz w:val="32"/>
                <w:szCs w:val="32"/>
                <w:b w:val="1"/>
                <w:bCs w:val="1"/>
                <w:color w:val="auto"/>
              </w:rPr>
              <w:t>Privia Health Group, Inc.</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gridSpan w:val="8"/>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2"/>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81-3599420</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20" w:type="dxa"/>
            <w:vAlign w:val="bottom"/>
          </w:tcPr>
          <w:p>
            <w:pPr>
              <w:spacing w:after="0"/>
              <w:rPr>
                <w:sz w:val="20"/>
                <w:szCs w:val="20"/>
                <w:color w:val="auto"/>
              </w:rPr>
            </w:pPr>
          </w:p>
        </w:tc>
        <w:tc>
          <w:tcPr>
            <w:tcW w:w="40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2"/>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950 N. Glebe Rd.,</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Arlington, Virginia</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22203</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4"/>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222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(Zip Code)</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4"/>
          </w:tcPr>
          <w:p>
            <w:pPr>
              <w:jc w:val="center"/>
              <w:ind w:left="1176"/>
              <w:spacing w:after="0"/>
              <w:rPr>
                <w:sz w:val="20"/>
                <w:szCs w:val="20"/>
                <w:color w:val="auto"/>
              </w:rPr>
            </w:pPr>
            <w:r>
              <w:rPr>
                <w:rFonts w:ascii="Times New Roman" w:cs="Times New Roman" w:eastAsia="Times New Roman" w:hAnsi="Times New Roman"/>
                <w:sz w:val="18"/>
                <w:szCs w:val="18"/>
                <w:b w:val="1"/>
                <w:bCs w:val="1"/>
                <w:color w:val="auto"/>
                <w:w w:val="99"/>
              </w:rPr>
              <w:t>(571) 366-8850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1"/>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gridSpan w:val="7"/>
          </w:tcPr>
          <w:p>
            <w:pPr>
              <w:jc w:val="center"/>
              <w:ind w:right="1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60" w:type="dxa"/>
            <w:vAlign w:val="bottom"/>
            <w:gridSpan w:val="9"/>
          </w:tcPr>
          <w:p>
            <w:pPr>
              <w:jc w:val="center"/>
              <w:ind w:left="55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527"/>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320" w:type="dxa"/>
            <w:vAlign w:val="bottom"/>
            <w:gridSpan w:val="8"/>
          </w:tcPr>
          <w:p>
            <w:pPr>
              <w:jc w:val="center"/>
              <w:ind w:right="6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
        </w:trPr>
        <w:tc>
          <w:tcPr>
            <w:tcW w:w="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320" w:type="dxa"/>
            <w:vAlign w:val="bottom"/>
            <w:tcBorders>
              <w:right w:val="single" w:sz="8" w:color="auto"/>
            </w:tcBorders>
          </w:tcPr>
          <w:p>
            <w:pPr>
              <w:spacing w:after="0"/>
              <w:rPr>
                <w:sz w:val="15"/>
                <w:szCs w:val="15"/>
                <w:color w:val="auto"/>
              </w:rPr>
            </w:pPr>
          </w:p>
        </w:tc>
        <w:tc>
          <w:tcPr>
            <w:tcW w:w="3380" w:type="dxa"/>
            <w:vAlign w:val="bottom"/>
            <w:gridSpan w:val="3"/>
          </w:tcPr>
          <w:p>
            <w:pPr>
              <w:jc w:val="center"/>
              <w:ind w:left="210"/>
              <w:spacing w:after="0" w:line="182"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Borders>
              <w:right w:val="single" w:sz="8" w:color="auto"/>
            </w:tcBorders>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right w:val="single" w:sz="8" w:color="auto"/>
            </w:tcBorders>
            <w:gridSpan w:val="3"/>
          </w:tcPr>
          <w:p>
            <w:pPr>
              <w:jc w:val="center"/>
              <w:ind w:right="6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 w:type="dxa"/>
            <w:vAlign w:val="bottom"/>
            <w:tcBorders>
              <w:right w:val="single" w:sz="8" w:color="auto"/>
            </w:tcBorders>
          </w:tcPr>
          <w:p>
            <w:pPr>
              <w:spacing w:after="0"/>
              <w:rPr>
                <w:sz w:val="19"/>
                <w:szCs w:val="19"/>
                <w:color w:val="auto"/>
              </w:rPr>
            </w:pPr>
          </w:p>
        </w:tc>
        <w:tc>
          <w:tcPr>
            <w:tcW w:w="338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1"/>
              </w:rPr>
              <w:t>PRVA</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372"/>
        </w:trPr>
        <w:tc>
          <w:tcPr>
            <w:tcW w:w="6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6"/>
        </w:trPr>
        <w:tc>
          <w:tcPr>
            <w:tcW w:w="914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03"/>
        </w:trPr>
        <w:tc>
          <w:tcPr>
            <w:tcW w:w="9140" w:type="dxa"/>
            <w:vAlign w:val="bottom"/>
            <w:gridSpan w:val="11"/>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18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2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 w:lineRule="exact"/>
        <w:rPr>
          <w:sz w:val="24"/>
          <w:szCs w:val="24"/>
          <w:color w:val="auto"/>
        </w:rPr>
      </w:pPr>
    </w:p>
    <w:p>
      <w:pPr>
        <w:ind w:right="26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2" w:lineRule="exact"/>
        <w:rPr>
          <w:sz w:val="24"/>
          <w:szCs w:val="24"/>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to §240.10D-1(b).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6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320" w:top="229"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23, 2024 the registrant had outstanding 118,568,826 shares of common stock, $0.01 par value. As of June 30, 2023 (the last business day of the registrant’s most recently completed second fiscal quarter), the aggregate market value of the common stock held by non-affiliates was approximately $2.20 billion based on the closing price per share of common stock on that date of $26.11 as reported on the NASDAQ.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information called for by Part III of this Annual Report on Form 10-K is hereby incorporated by reference from the proxy statement for the registrant’s 2024 annual meeting of stockholders, which proxy statement will be filed with the Securities and Exchange Commission no later than 120 days after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677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677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3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80" w:type="dxa"/>
            <w:vAlign w:val="bottom"/>
          </w:tcPr>
          <w:p>
            <w:pPr>
              <w:spacing w:after="0"/>
              <w:rPr>
                <w:sz w:val="21"/>
                <w:szCs w:val="21"/>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Business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Item 1A.</w:t>
            </w:r>
          </w:p>
        </w:tc>
        <w:tc>
          <w:tcPr>
            <w:tcW w:w="480" w:type="dxa"/>
            <w:vAlign w:val="bottom"/>
          </w:tcPr>
          <w:p>
            <w:pPr>
              <w:spacing w:after="0"/>
              <w:rPr>
                <w:sz w:val="21"/>
                <w:szCs w:val="21"/>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480" w:type="dxa"/>
            <w:vAlign w:val="bottom"/>
          </w:tcPr>
          <w:p>
            <w:pPr>
              <w:spacing w:after="0"/>
              <w:rPr>
                <w:sz w:val="21"/>
                <w:szCs w:val="21"/>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480" w:type="dxa"/>
            <w:vAlign w:val="bottom"/>
          </w:tcPr>
          <w:p>
            <w:pPr>
              <w:spacing w:after="0"/>
              <w:rPr>
                <w:sz w:val="21"/>
                <w:szCs w:val="21"/>
                <w:color w:val="auto"/>
              </w:rPr>
            </w:pP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3"/>
          </w:tcPr>
          <w:p>
            <w:pPr>
              <w:spacing w:after="0"/>
              <w:rPr>
                <w:sz w:val="21"/>
                <w:szCs w:val="21"/>
                <w:color w:val="auto"/>
              </w:rPr>
            </w:pPr>
          </w:p>
        </w:tc>
        <w:tc>
          <w:tcPr>
            <w:tcW w:w="740" w:type="dxa"/>
            <w:vAlign w:val="bottom"/>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80" w:type="dxa"/>
            <w:vAlign w:val="bottom"/>
          </w:tcPr>
          <w:p>
            <w:pPr>
              <w:spacing w:after="0"/>
              <w:rPr>
                <w:sz w:val="21"/>
                <w:szCs w:val="21"/>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40" w:type="dxa"/>
            <w:vAlign w:val="bottom"/>
            <w:gridSpan w:val="6"/>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80" w:type="dxa"/>
            <w:vAlign w:val="bottom"/>
          </w:tcPr>
          <w:p>
            <w:pPr>
              <w:spacing w:after="0"/>
              <w:rPr>
                <w:sz w:val="21"/>
                <w:szCs w:val="21"/>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440" w:type="dxa"/>
            <w:vAlign w:val="bottom"/>
            <w:gridSpan w:val="3"/>
          </w:tcPr>
          <w:p>
            <w:pPr>
              <w:spacing w:after="0"/>
              <w:rPr>
                <w:sz w:val="21"/>
                <w:szCs w:val="21"/>
                <w:color w:val="auto"/>
              </w:rPr>
            </w:pP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3260" w:type="dxa"/>
            <w:vAlign w:val="bottom"/>
            <w:gridSpan w:val="10"/>
          </w:tcPr>
          <w:p>
            <w:pPr>
              <w:ind w:left="4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7.</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7A.</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8.</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9A.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9C.</w:t>
      </w:r>
    </w:p>
    <w:p>
      <w:pPr>
        <w:spacing w:after="0" w:line="20" w:lineRule="exact"/>
        <w:rPr>
          <w:sz w:val="20"/>
          <w:szCs w:val="20"/>
          <w:color w:val="auto"/>
        </w:rPr>
      </w:pPr>
      <w:r>
        <w:rPr>
          <w:sz w:val="20"/>
          <w:szCs w:val="20"/>
          <w:color w:val="auto"/>
        </w:rPr>
        <w:br w:type="column"/>
      </w:r>
    </w:p>
    <w:p>
      <w:pPr>
        <w:ind w:right="1120"/>
        <w:spacing w:after="0" w:line="344" w:lineRule="auto"/>
        <w:rPr>
          <w:sz w:val="20"/>
          <w:szCs w:val="20"/>
          <w:color w:val="auto"/>
        </w:rPr>
      </w:pPr>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 [Reserved]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 and Supplementary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Changes in and Disagreements With Accountants on Accounting and Financial Disclosures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Disclosure Regarding Foreign Jurisdiction that Prevent Inspections.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50" w:lineRule="exact"/>
        <w:rPr>
          <w:sz w:val="20"/>
          <w:szCs w:val="20"/>
          <w:color w:val="auto"/>
        </w:rPr>
      </w:pPr>
    </w:p>
    <w:p>
      <w:pPr>
        <w:sectPr>
          <w:pgSz w:w="11900" w:h="16838" w:orient="portrait"/>
          <w:cols w:equalWidth="0" w:num="3">
            <w:col w:w="660" w:space="480"/>
            <w:col w:w="9180" w:space="720"/>
            <w:col w:w="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20" w:type="dxa"/>
            <w:vAlign w:val="bottom"/>
            <w:gridSpan w:val="3"/>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6700" w:type="dxa"/>
            <w:vAlign w:val="bottom"/>
            <w:gridSpan w:val="7"/>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760" w:type="dxa"/>
            <w:vAlign w:val="bottom"/>
            <w:tcBorders>
              <w:top w:val="single" w:sz="8" w:color="0000FF"/>
            </w:tcBorders>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76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15.</w:t>
            </w:r>
          </w:p>
        </w:tc>
        <w:tc>
          <w:tcPr>
            <w:tcW w:w="400" w:type="dxa"/>
            <w:vAlign w:val="bottom"/>
            <w:gridSpan w:val="2"/>
          </w:tcPr>
          <w:p>
            <w:pPr>
              <w:spacing w:after="0"/>
              <w:rPr>
                <w:sz w:val="21"/>
                <w:szCs w:val="21"/>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3"/>
          </w:tcPr>
          <w:p>
            <w:pPr>
              <w:spacing w:after="0"/>
              <w:rPr>
                <w:sz w:val="21"/>
                <w:szCs w:val="21"/>
                <w:color w:val="auto"/>
              </w:rPr>
            </w:pPr>
          </w:p>
        </w:tc>
        <w:tc>
          <w:tcPr>
            <w:tcW w:w="5620" w:type="dxa"/>
            <w:vAlign w:val="bottom"/>
            <w:gridSpan w:val="5"/>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Index to the Consolidated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891"/>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risks and uncertainties include factors related to, among other things:</w:t>
      </w:r>
    </w:p>
    <w:p>
      <w:pPr>
        <w:spacing w:after="0" w:line="80"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heavily regulated industry in which we operate, and if we fail to comply with applicable healthcare laws and government regulations, we could incur financial penalties and become excluded from participating in government health care programs;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relationships with Medical Groups (defined herein), some of which we do not own;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which may not prove viable and we may not realize expected results;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our proprietary end-to-end, cloud-based technology solution (the “Privia Technology Solution”) for Privia Physicians (defined herein) and new Medical Groups;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level of competition in our industry and our failure to compete and innovate;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successfully establishing a presence in new geographic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electronic medical record (“EMR”) vendor, athenahealth, Inc., which the Privia Technology Solution is integrated and built upon;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payer mix of patients and potential decreases in our reimbursement rates as a result of consolidation among commercial payers;</w:t>
      </w:r>
    </w:p>
    <w:p>
      <w:pPr>
        <w:spacing w:after="0" w:line="117"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disclosure, and other processing of personal information is subject to various federal and state privacy and security regulations and our use, disclosure, and other processing of protected health information is subject to the Health Insurance Portability and Accountability Act of 1996;</w:t>
      </w:r>
    </w:p>
    <w:p>
      <w:pPr>
        <w:spacing w:after="0" w:line="31" w:lineRule="exact"/>
        <w:rPr>
          <w:rFonts w:ascii="Times New Roman" w:cs="Times New Roman" w:eastAsia="Times New Roman" w:hAnsi="Times New Roman"/>
          <w:sz w:val="17"/>
          <w:szCs w:val="17"/>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qualified workforce, including staff at our Medical Groups, and the continued upward pressure on compensation for such workforce;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and elsewhere in this Annual Report on Form 10-K.</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Privia Health Group, Inc. (“Privia Health”, “we”, “our”, or the “Company”)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(the “Privia Platform”). We directly address three of the most pressing issues facing physicians today: the transition to the value-based care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(each, a “Medical Group”) with significant local autonomy for the physicians (collectively, “Privia Physicians”) and non-physician clinicians (collectively “Privia Clinicians” and, together with the Privia Physicians, the “Privia Providers”) joining our Medical Groups. Our Medical Groups are designated as in-network by all major health insurance payers in all of our markets, and all Privia Providers are credentialed with such health insurance payers.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platform is purpose-built, organizing physicians into cost efficient, value-based and primary-care centric networks bolstered by strong physician governance, and promotes a culture of physician leadership. The Privia Platform is powered by our Privia Technology Solution that integrates both Privia-developed and third-party applications into a seamless interface and workflow that manages all aspects of our Privia Providers’ provision of healthcare services. We enhance the patient experience, improve practice economics and influence point of care delivery through investments in data analytics, revenue cycle management (“RCM”), practice and clinical operations and payer alignment. The Privia Platform is designed to succeed across demographic cohorts, acuity levels and reimbursement models, including traditional fee-for-service (“FFS”) Medicare, the Medicare Shared Savings Program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Health has rapidly become one of the nation’s leading independent physician companies since launching our first Medical Group in 2013.</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core elements to our physician alignment approach:</w:t>
      </w:r>
    </w:p>
    <w:p>
      <w:pPr>
        <w:spacing w:after="0" w:line="117" w:lineRule="exact"/>
        <w:rPr>
          <w:sz w:val="20"/>
          <w:szCs w:val="20"/>
          <w:color w:val="auto"/>
        </w:rPr>
      </w:pPr>
    </w:p>
    <w:p>
      <w:pPr>
        <w:ind w:left="1140" w:hanging="322"/>
        <w:spacing w:after="0" w:line="282" w:lineRule="auto"/>
        <w:tabs>
          <w:tab w:leader="none" w:pos="11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focus on maximizing the potential of a physician’s medical practice across the physician’s entire patient panel, with the end goal of succeeding in VBC reimbursement;</w:t>
      </w:r>
    </w:p>
    <w:p>
      <w:pPr>
        <w:spacing w:after="0" w:line="53" w:lineRule="exact"/>
        <w:rPr>
          <w:rFonts w:ascii="Times New Roman" w:cs="Times New Roman" w:eastAsia="Times New Roman" w:hAnsi="Times New Roman"/>
          <w:sz w:val="18"/>
          <w:szCs w:val="18"/>
          <w:color w:val="auto"/>
        </w:rPr>
      </w:pPr>
    </w:p>
    <w:p>
      <w:pPr>
        <w:ind w:left="1140" w:hanging="322"/>
        <w:spacing w:after="0" w:line="282" w:lineRule="auto"/>
        <w:tabs>
          <w:tab w:leader="none" w:pos="11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flexible payer-agnostic approach to address the needs of multiple types of physician practices, from independently owned to hospital employed or hospital affiliated practices; and</w:t>
      </w:r>
    </w:p>
    <w:p>
      <w:pPr>
        <w:spacing w:after="0" w:line="53"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profitable model for both Privia and our Privia Physicians, regardless of the reimbursement model, geographic environment or specialty.</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intended result of the Privia model is engaged physicians and non-physician clinicians delivering virtual and in-person high quality healthcare to patients with superior clinical outcomes and experiences at lower costs. We believe the Privia Platform is highly scalable, allowing us to both rapidly build density in new 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a broad spectrum of physician practices given our significant value proposition and our comprehensive solution set.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50" w:lineRule="exact"/>
        <w:rPr>
          <w:sz w:val="20"/>
          <w:szCs w:val="20"/>
          <w:color w:val="auto"/>
        </w:rPr>
      </w:pPr>
    </w:p>
    <w:p>
      <w:pPr>
        <w:ind w:left="420" w:hanging="331"/>
        <w:spacing w:after="0" w:line="286"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Addresses a Large Total Addressable Market (“TAM”): </w:t>
      </w:r>
      <w:r>
        <w:rPr>
          <w:rFonts w:ascii="Times New Roman" w:cs="Times New Roman" w:eastAsia="Times New Roman" w:hAnsi="Times New Roman"/>
          <w:sz w:val="18"/>
          <w:szCs w:val="18"/>
          <w:color w:val="auto"/>
        </w:rPr>
        <w:t>Targets a large and growing TAM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(physician enablement market estimated to be $1.9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trillion, with an ability to serve over 1 million providers in the U.S.).</w:t>
      </w:r>
    </w:p>
    <w:p>
      <w:pPr>
        <w:spacing w:after="0" w:line="46" w:lineRule="exact"/>
        <w:rPr>
          <w:rFonts w:ascii="Times New Roman" w:cs="Times New Roman" w:eastAsia="Times New Roman" w:hAnsi="Times New Roman"/>
          <w:sz w:val="18"/>
          <w:szCs w:val="18"/>
          <w:color w:val="auto"/>
        </w:rPr>
      </w:pPr>
    </w:p>
    <w:p>
      <w:pPr>
        <w:ind w:left="420" w:hanging="331"/>
        <w:spacing w:after="0" w:line="286"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Purpose-Built to Scale Nationally: </w:t>
      </w:r>
      <w:r>
        <w:rPr>
          <w:rFonts w:ascii="Times New Roman" w:cs="Times New Roman" w:eastAsia="Times New Roman" w:hAnsi="Times New Roman"/>
          <w:sz w:val="18"/>
          <w:szCs w:val="18"/>
          <w:color w:val="auto"/>
        </w:rPr>
        <w:t>Flexible model to enter new markets with multiple types of physician practices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(more than 485,000 primary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physicians and more than 535,000 physician specialists in the U.S.).</w:t>
      </w:r>
    </w:p>
    <w:p>
      <w:pPr>
        <w:spacing w:after="0" w:line="46" w:lineRule="exact"/>
        <w:rPr>
          <w:rFonts w:ascii="Times New Roman" w:cs="Times New Roman" w:eastAsia="Times New Roman" w:hAnsi="Times New Roman"/>
          <w:sz w:val="18"/>
          <w:szCs w:val="18"/>
          <w:color w:val="auto"/>
        </w:rPr>
      </w:pPr>
    </w:p>
    <w:p>
      <w:pPr>
        <w:jc w:val="both"/>
        <w:ind w:left="420" w:hanging="331"/>
        <w:spacing w:after="0" w:line="268"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Powered by the Privia Technology Solution: </w:t>
      </w:r>
      <w:r>
        <w:rPr>
          <w:rFonts w:ascii="Times New Roman" w:cs="Times New Roman" w:eastAsia="Times New Roman" w:hAnsi="Times New Roman"/>
          <w:sz w:val="18"/>
          <w:szCs w:val="18"/>
          <w:color w:val="auto"/>
        </w:rPr>
        <w:t>Comprehensive cloud-based technology-enabled platform designed to optimize provider workflow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across the full continuum of reimbursement environments as well as both virtual and in-person care settings </w:t>
      </w:r>
      <w:r>
        <w:rPr>
          <w:rFonts w:ascii="Times New Roman" w:cs="Times New Roman" w:eastAsia="Times New Roman" w:hAnsi="Times New Roman"/>
          <w:sz w:val="18"/>
          <w:szCs w:val="18"/>
          <w:i w:val="1"/>
          <w:iCs w:val="1"/>
          <w:color w:val="auto"/>
        </w:rPr>
        <w:t>(eliminates the need to buy and integrate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than 30 point solutions)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420" w:hanging="331"/>
        <w:spacing w:after="0" w:line="268"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Establishes Provider Density in Local Markets: </w:t>
      </w:r>
      <w:r>
        <w:rPr>
          <w:rFonts w:ascii="Times New Roman" w:cs="Times New Roman" w:eastAsia="Times New Roman" w:hAnsi="Times New Roman"/>
          <w:sz w:val="18"/>
          <w:szCs w:val="18"/>
          <w:color w:val="auto"/>
        </w:rPr>
        <w:t>Supports a proven expansion strategy resulting in increased relevance with payers and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(over 1,090 care center locations across 13 states and the District of Columbia, targeting over 160 metropolitan statistical areas (“MPSAs”) located within those geographical markets).</w:t>
      </w:r>
    </w:p>
    <w:p>
      <w:pPr>
        <w:spacing w:after="0" w:line="62" w:lineRule="exact"/>
        <w:rPr>
          <w:rFonts w:ascii="Times New Roman" w:cs="Times New Roman" w:eastAsia="Times New Roman" w:hAnsi="Times New Roman"/>
          <w:sz w:val="18"/>
          <w:szCs w:val="18"/>
          <w:color w:val="auto"/>
        </w:rPr>
      </w:pPr>
    </w:p>
    <w:p>
      <w:pPr>
        <w:jc w:val="both"/>
        <w:ind w:left="420" w:hanging="331"/>
        <w:spacing w:after="0" w:line="268"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Designed to Transform Care Delivery: </w:t>
      </w:r>
      <w:r>
        <w:rPr>
          <w:rFonts w:ascii="Times New Roman" w:cs="Times New Roman" w:eastAsia="Times New Roman" w:hAnsi="Times New Roman"/>
          <w:sz w:val="18"/>
          <w:szCs w:val="18"/>
          <w:color w:val="auto"/>
        </w:rPr>
        <w:t>Designed to transition care delivery in each market from FFS to VBC and to enhance the care model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ability of Privia Providers to manage higher risk patients </w:t>
      </w:r>
      <w:r>
        <w:rPr>
          <w:rFonts w:ascii="Times New Roman" w:cs="Times New Roman" w:eastAsia="Times New Roman" w:hAnsi="Times New Roman"/>
          <w:sz w:val="18"/>
          <w:szCs w:val="18"/>
          <w:i w:val="1"/>
          <w:iCs w:val="1"/>
          <w:color w:val="auto"/>
        </w:rPr>
        <w:t>(more than $937 million total savings generated across Commercial, Medicare Advantage,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Medicare Shared Savings, and Medicaid since 2014; patient NPS of 85).</w:t>
      </w:r>
    </w:p>
    <w:p>
      <w:pPr>
        <w:spacing w:after="0" w:line="62" w:lineRule="exact"/>
        <w:rPr>
          <w:rFonts w:ascii="Times New Roman" w:cs="Times New Roman" w:eastAsia="Times New Roman" w:hAnsi="Times New Roman"/>
          <w:sz w:val="18"/>
          <w:szCs w:val="18"/>
          <w:color w:val="auto"/>
        </w:rPr>
      </w:pPr>
    </w:p>
    <w:p>
      <w:pPr>
        <w:jc w:val="both"/>
        <w:ind w:left="420" w:hanging="331"/>
        <w:spacing w:after="0" w:line="268"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Demonstrates Physician Value Proposition Consistently: </w:t>
      </w:r>
      <w:r>
        <w:rPr>
          <w:rFonts w:ascii="Times New Roman" w:cs="Times New Roman" w:eastAsia="Times New Roman" w:hAnsi="Times New Roman"/>
          <w:sz w:val="18"/>
          <w:szCs w:val="18"/>
          <w:color w:val="auto"/>
        </w:rPr>
        <w:t>Reduces administrative burden and generally increases provider profitability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(96% Privia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Provider retention rate over the past five years in addition to a seven-time (2016-2022) HFMA MAP Award recipient for high performance in revenue cycle).</w:t>
      </w:r>
    </w:p>
    <w:p>
      <w:pPr>
        <w:spacing w:after="0" w:line="62" w:lineRule="exact"/>
        <w:rPr>
          <w:rFonts w:ascii="Times New Roman" w:cs="Times New Roman" w:eastAsia="Times New Roman" w:hAnsi="Times New Roman"/>
          <w:sz w:val="18"/>
          <w:szCs w:val="18"/>
          <w:color w:val="auto"/>
        </w:rPr>
      </w:pPr>
    </w:p>
    <w:p>
      <w:pPr>
        <w:jc w:val="both"/>
        <w:ind w:left="420" w:hanging="331"/>
        <w:spacing w:after="0" w:line="262"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Generates Attractive Financial Results: </w:t>
      </w:r>
      <w:r>
        <w:rPr>
          <w:rFonts w:ascii="Times New Roman" w:cs="Times New Roman" w:eastAsia="Times New Roman" w:hAnsi="Times New Roman"/>
          <w:sz w:val="18"/>
          <w:szCs w:val="18"/>
          <w:color w:val="auto"/>
        </w:rPr>
        <w:t>Has an established scale, diversified revenue mix with no single payer or individual practice concentration,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profitable and capital efficient with attractive growth (</w:t>
      </w:r>
      <w:r>
        <w:rPr>
          <w:rFonts w:ascii="Times New Roman" w:cs="Times New Roman" w:eastAsia="Times New Roman" w:hAnsi="Times New Roman"/>
          <w:sz w:val="18"/>
          <w:szCs w:val="18"/>
          <w:i w:val="1"/>
          <w:iCs w:val="1"/>
          <w:color w:val="auto"/>
        </w:rPr>
        <w:t>for the year ended December 31, 2023, approximately $1.66 billion in revenue and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than $2.84 billion total practice collections, high return on invested capital with superior unit economics and high free cash flow conversion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See “Key Metrics” for a discussion of practice collections.</w:t>
      </w:r>
    </w:p>
    <w:p>
      <w:pPr>
        <w:spacing w:after="0" w:line="68" w:lineRule="exact"/>
        <w:rPr>
          <w:rFonts w:ascii="Times New Roman" w:cs="Times New Roman" w:eastAsia="Times New Roman" w:hAnsi="Times New Roman"/>
          <w:sz w:val="18"/>
          <w:szCs w:val="18"/>
          <w:color w:val="auto"/>
        </w:rPr>
      </w:pPr>
    </w:p>
    <w:p>
      <w:pPr>
        <w:ind w:left="420" w:hanging="331"/>
        <w:spacing w:after="0" w:line="286"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Led by a Highly Experienced Executive and Physician Leadership Team: </w:t>
      </w:r>
      <w:r>
        <w:rPr>
          <w:rFonts w:ascii="Times New Roman" w:cs="Times New Roman" w:eastAsia="Times New Roman" w:hAnsi="Times New Roman"/>
          <w:sz w:val="18"/>
          <w:szCs w:val="18"/>
          <w:color w:val="auto"/>
        </w:rPr>
        <w:t>Our management team has significant experience leading payer,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and healthcare information technology organizations.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our model is highly scalable. Privia operates in 13 states and the District of Columbia, covering over 160 target MPSAs (including 54 out of the largest 100 MPSAs), not including our planned exit from Delaware. We aim to build relevance in each of our markets with all key constituents (physicians, non-physician clinicians, patients, government programs, commercial payers and employers). Privia started by partnering with small and large independent physician practices focused on primary care, pediatrics, women’s health, and select subspecialties focused on treating chronically ill patients. As of December 31, 2023 we now have more than 4,300 service professionals on our platform who are credentialed and bill for medical services, in both Owned and Non-Owned Medical Groups (as defined below), (“implemented providers”). Once a provider signs an agreement to join Privia, there is a five-to-eight month period on average before that provider is implemented on our platform. This time lag between signing and implementing a provider gives us very high visibility into total practice collections over a forward twelve-month period. Our implemented providers operate in over 1,090 care center locations. Privia cares for over 4.8 million patients, including approximately 683,000 commercial patients who have selected one of our Medical Groups as their provider of primary care services, as measured at the end of a particular period (“attributed lives”), approximately 155,000 Medicare Advantage attributed lives, 197,000 Medicare Shared Savings / Maryland PCP+ Program attributed lives, and approximately 85,000 Medicaid attributed lives. In addition, we currently have over 224,000 patients aging into Medicare over the next five years. Our confidence in our base business model is based on our belief that the Privia Platform works across all geographies and will allow us to enter many new markets across the country over the coming decades and fundamentally move those markets to VBC.</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instances, we also move into and expand in new and existing markets through our Privia Care Partners model. Privia Care Partners offers a more flexible affiliation model to providers who are looking solely for VBC solutions without the necessity of joining one of our Medical Groups and changing EMR platforms. Providers participating in Privia Care Partners are clinically integrated to allow for joint contracting with payers, and we furnish population health services, reporting and analytics to such providers along with a menu of management services from which providers may choose. As of January 1, 2024, approximately 1,350 providers with approximately 200,000 attributed lives are participating in the Privia Care Partners model. During 2023, several Privia Care Partners’ providers transitioned to our Privia Medical Group model, which demonstrates the flexibility of our operating model and technology platform, as well as the ability to support physicians wherever they are in their transition value-based care.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standard Privia Medical Group model, Privia Physicians join the Medical Group in their geographic market as an owner of the Medical Group. We own a majority interest in certain of our Medical Groups (each, an “Owned Medical Group”), with Privia Physicians collectively owning a minority interest, and we own no interest in certain other Medical Groups (each, a “Non-Owned Medical Group”). In those markets in which state regulations do not allow us to own Medical Groups, the Non-Owned Medical Groups are either (a) 100% owned by the Privia Physicians or (b) majority owned, indirectly through a professional entity (“Nominee PC”), by a licensed physician holding a Privia leadership position (such physician leader, a “Nominee Physician” and each such Non-Owned Medical Group owned in this manner, a “Friendly Medical Group”), and in those markets where we partner with health systems, our health system partner owns a majority interest in the Non-Owned Medical Groups, with Privia Physicians owning a minority interest. Our Owned and Non-Owned Medical Group Privia Physicians, who owned their own practices prior to joining Privia, continue to own their historical practice entities (“Affiliated Practices”) but those Affiliated Practices no longer furnish healthcare services and Privia Physicians are contractually obligated to furnish all healthcare services through their Medical Group. The Medical Groups have no ownership in the underlying Affiliated Practices, but the Affiliated Practices do provide certain services to the Medical Groups, such as use of space, non-physician staffing, equipment and supplies.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management services to each Medical Group though a local management services organization (each, a “MSO”) established with the objective of maximizing the independence and autonomy of our Privia Physicians, while providing Medical Groups with access to VBC opportunities either directly or through Privia-owned accountable care organizations (each, an “ACO”). We have national committees that distribute quality guidance, and we employ Chief Medical Officers who provide clinical oversight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direction over the clinical affairs of the Owned Medical Groups. Additionally, we hold the provider contracts, maintain the patient records, set reimbursement rates, and negotiate payer contracts on behalf of the Owned Medical Groups.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principally derive our revenues from the following three sources: (i) FFS-patient care revenue generated from providing healthcare services to patients through Privia Providers of Owned Medical Groups and Friendly Medical Groups, in addition to management and administrative services earned for administrative services provided to Non-Owned Medical Groups (“FFS-administrative services”), (ii) VBC revenue collected on behalf of our Privia Providers in the form of (a) capitated revenue and (b) management and administrative fees, which, at this time, are primarily in the form of shared savings, which includes quality bonuses, and per member per month (“PMPM”) care management fees, and (iii) other revenue from additional services offered by Privia to its Privia Providers or directly to patients or employers. The operations of our Owned Medical Groups, owned ACOs, owned MSOs and Friendly Medical Groups are reflected within our consolidated financial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Privia Health is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VBC. Among many “pain points” in the healthcare market today, providers across the country are spending less time with patients, losing autonomy, and operating with outdated, fragmented point solution technology. By harnessing a platform built on the foundational principles of talent, tools, and technology, we created a solution for building, scaling and optimizing the performance of both our Owned Medical Groups, through which we provide healthcare services, as well as our managed Non-Owned Medical Groups. Our integrated model and approach seek to reduce the physicians’ administrative burden and help accelerate the transition to VBC. This model creates a differentiated experience that is patient-centric, physician-led and payer-agnostic. As a result, we enable physicians to maintain their legacy practice assets while benefiting from being part of a larger Medical Group supported by a national organization. We are helping to drive the transition to VBC while serving FFS needs with an economically sustainable model that builds physician’s experience and confidence, enabling success with the transition to participate in more advanced VBC programs.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Privia Health Operating Model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Privia operating model has the following characteristics:</w:t>
      </w:r>
    </w:p>
    <w:p>
      <w:pPr>
        <w:spacing w:after="0" w:line="117"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scalable, replicable and flexible;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Tax-ID Number (“TIN”) Medical Group, primary care-oriented in each local geographic market;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services and clinical organization enabled by the Privia Technology Solution; and</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specific strategies—Accountable Care Organizations and ancillary services (e.g., clinical lab, pharmacy and imaging) based on market dynamics.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Privia Platform is powered by the Privia Technology Solution, which optimizes provider workflow across the full continuum of reimbursement arrangements. The platform supports multiple provider types (56 specialties currently represented), enables scalable operations, and delivers patient centric in-person and virtual access to care, attractive quality metrics, and lower cost of care. It efficiently integrates multiple data points to build a single view of the patient, allowing our Privia Providers to serve patients across demographics and medical complexities. Our platform scales across different markets by succeeding in all reimbursement models and delivering next generation VBC capabilities. We seek to continuously enhance the Privia Technology Solution to improve provider well-being and patient satisfaction.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our core, we believe in bringing back to physicians the joy of practicing medicine and the passion for their profession. As a physician-led organization, we know the vital role providers play in improving patient health outcomes while curbing healthcare spending and waste.</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Privia Health is changing healthcare: </w:t>
      </w:r>
      <w:r>
        <w:rPr>
          <w:rFonts w:ascii="Times New Roman" w:cs="Times New Roman" w:eastAsia="Times New Roman" w:hAnsi="Times New Roman"/>
          <w:sz w:val="18"/>
          <w:szCs w:val="18"/>
          <w:color w:val="auto"/>
        </w:rPr>
        <w:t>We meet providers where they are on the value continuum and partner with health plans, health systems,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employers to align reimbursements to quality, outcomes, and performance. Our model has proven to be successful and replicable across multiple geographies. Our platform is led by top industry talent, exceptional physician leadership, and consists of scalable operations, and end-to-end, cloud based technology that reduces unnecessary healthcare costs, achieves better outcomes, and improves the health of patients and the well-being of providers.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tailored solutions are designed to enable providers to practice medicine efficiently and effectively, thrive in both FFS and VBC environments, and improve the quality of their patient interactions, all of which lead to improved patient outcomes. We further enable our Medical Groups to succeed as the payer, patient and employer needs shift over time in each of our markets.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MSO in each local market, (iv) building ACOs to capture VBC opportunities, and (v) offering a high quality, low cost provider network for purchasers and payers.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the U.S. healthcare system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Challenges Physicians Confront Today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Physicians across the country face tremendous challenges in managing their practices. Care delivery platforms today are not set up to succeed in different reimbursement models as healthcare shifts from FFS to VBC. We believe there is a multi-decade opportunity for primary care led physician groups to address rising healthcare costs, poor outcomes, and succeed in various VBC models. Success and reimbursement in these models are based on managing total cost of care for an underlying patient population and improving various quality metrics. We think these value-based models will evolve differently in terms of program structure and pace of progress depending on geographic market, demographic cohort and payer. However, traditional physician groups face challenges finding ways to lower costs while improving quality and increasing access to care across multiple geographies and patient cohorts. Physician practices have seen declines in profitability, limited access to capital and strained cash flows as the administrative burden to manage patients has increased. Complexity in payment models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survey of 700+ clinicians, clinical leaders and health care executives conducted by NEJM Catalyst and reported in October 2020 found the following:</w:t>
      </w:r>
    </w:p>
    <w:p>
      <w:pPr>
        <w:spacing w:after="0" w:line="117"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see physician burnout as a moderate or serious problem; and</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mention administrative burden as a top contributor to provider burnout, identifying lack of autonomy/control and the impact of electronic medical records and other IT systems as the biggest factors.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Healthcare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spending in the United States reached nearly $4.5 trillion in 2022 or $13,493 per person, according to Centers for Medicare and Medicaid Services (“CMS”), representing approximately 17.3% of U.S. GDP. This is more than any other country in the world and twice the OECD average. National health expenditures are projected to reach $7.2 trillion or 19.6% of GDP by 2031, according to CMS, outpacing both GDP and inflation expectations. Privia’s solutions help rein in healthcare costs, while improving patient experience and provider efficiency.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Wasteful Spending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2019 study by the Journal of American Medical Association estimated that approximately 25% of all healthcare spending is for unnecessary services, excessive administrative costs, fraud and other problems creating waste, implying approximately $760 billion to $935 billion of annual wasteful spending at current levels. In 2020, hospital care accounted for the largest portion of healthcare spending in the United States, representing 30.8% of the total. Proper management of chronic conditions can significantly reduce the incidence of acute episodes, which are the main drivers of trips to the emergency room and hospitalization, particularly among the elderly.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Sub-optimal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high levels of spending, the United States healthcare system struggles to produce better health outcomes and to keep doctors and patients satisfied. Life expectancy in the United States was 77.3 years in 2020, compared to 82.1 years in comparable developed countries, and patient satisfaction with the healthcare system is low, as evidenced by a Net Promoter Score of 35 for the average primary care physician as shown in a WD Partners study conducted in 2019.</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build cost efficient primary care delivery networks in each of our markets to align incentives with public and commercial payers. We use our end-to-end, cloud-based technology-enabled platform to identify quality gaps, generate actionable reports and alerts, and automate patient outreach and education, to improve care coordination and reduce wasteful spend.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to VBC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fundamental challenges and opportunities for improvement in the delivery of healthcare in the United States. Historically, healthcare delivery has centered on reactive care to acute events, which resulted in the development of an FFS payment model. By linking payments to volume of encounters and pricing for higher complexity interventions, the FFS model does not reward prevention, but rather unintentionally incentivizes the treatment of acute care episodes as they occur. The trend toward value-based payment systems has been supported at both the patient and policymaker level. We believe there is demand for technology-driven disruption that would shift the healthcare system to a value-based model. Our integrated platform enabled by data and technology has the potential to revolutionize the healthcare industry. As each geographic market evolves in its shift towards VBC, with our experience working in all reimbursement environments, Privia meets providers where they are on their transformative journey and enables them to accelerate and succeed in their transition.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Capitated revenue is generated through what is typically known as an “at-risk contract.” At-risk capitation refers to a model in which the Company is entitled to fixed monthly fees from the third-party payer in exchange for providing healthcare services to attributed beneficiaries in Medicare Advantage plans. The fees are typically based on a percentage of the defined premium that payers receive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CMS. At-risk capitated fees are recorded gross in revenues because the Company is acting as a principal in arranging for, providing, and controlling the managed healthcare services provided to the attributed beneficiaries. The Company is currently renegotiating certain capitated agreements expected to reduce its at-risk capitated lives to increase the probability of positive contribution margin and limit downside financial risk in the midst of prevailing headwinds from higher medical cost trends and other financial and reimbursement pressures on payers and provider organizations, If successful, the Company expects the renegotiated contract would transition approximately 19,900 lives from capitated lives to shared savings lives, effective January 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there are approximately 1,000,000 total physicians and providers in the U.S. Our existing provider relationships provides us with significant opportunity to grow in both our existing and new geographies. Our growth strategy is centered on capturing whitespace opportunity in existing markets and entering multiple new markets nationally over the next decade. We operate in 13 states and the District of Columbia, with over 4,300 implemented physicians and providers, covering over 4.8 million patients. We believe we address a market opportunity of more than $1.9 trillion.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understand that healthcare is local and that providers understand the unique needs of their patients and their community. With these issues in mind, Privia has been purpose-built to address a large market opportunity. Unlike peers who focus only on point solutions or narrow patient cohorts, we offer a national platform with localized solutions that meet the needs of physicians, patients and payers. We offer these dedicated providers the benefits of a larger organization while maximizing their independence, existing ownership and affiliation structures. Privia collaborates with an anchor medical group or a health system that has a strong reputation, physician leadership, and interest in embracing and amplifying VBC in its local market. We then develop a network around leading primary care providers and specialists.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goal since inception has been to solve problems physicians face regardless of reimbursement environment or patient type. As such, we are able to deploy our solution across the full healthcare continuum. Our model is designed to succeed across all provider specialties and reimbursement environments and with all payer types. We have demonstrated an ability to expand and scale across diverse geographic markets. We know that consumers want on-demand access to care, providers want a lower burden of administrative work, and payers want to lower total medical cost. Our platform offers an interoperable and user-friendly technology that is designed to meet the needs of patients, providers, and payers and allows us to access a large TAM.</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2020, CMS reported that the private health insurance market represented approximately $2.8 trillion of aggregate healthcare spend in the United States, with Medicare and Medicaid representing approximately $829 billion and $671 billion, respectively. Nephron Research estimated in its January 2021 research report titled “The Dawn of Physician Enablement: Defining Healthcare in the 2020s” that the “physician enablement” market in which we participate represents up to $1.9 trillion of that total healthcare spend. We believe the flexibility of our model uniquely positions us to address this large market opportunity.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Privia Health was founded with a mission to improve and transform healthcare in order to enable doctors and their teams to focus on providing patients with high quality healthcare. In 2013, we launched Privia Medical Group with our first practice in Virginia. The following year, we expanded across the Mid-Atlantic region to Maryland and Washington D.C. In 2015, we launched our Georgia and South Texas markets. In 2016, we launched our group in North Texas. That same year, the Washington Post named Privia Health one of the “Top Workplaces” for a second consecutive year. In 2017, The Advisory Board Company listed Privia Health as one of the “Workplaces of the year” for employee engagement. In 2019, we launched our Florida market and in 2020, we launched in Tennessee, started the Privia Pediatrics vertical, and announced a strategic alliance with a prominent children’s hospital in Texas. In 2021, we launched Privia Health in the California market and opened our third Medical Group in the State of Texas. We launched Privia Medical Group in Montana and North Carolina in 2022. In 2023, we launched Privia Quality Network Connecticut, as well as Privia Medical Group Washington and Privia Medical Group South Carolina. In addition, from 2016 to 2022 we received seven consecutive HFMA MAP award for high performance in revenue cycle. From 2015 to 2023, we have averaged a 28% annual growth rate in providers joining our platform, which has resulted in a total attributed lives growth rate of 30%.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Attributed Lives in Value-Based Programs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define attributed lives as patients that a payer identifies in any VBC program that a Privia Medical Group is specifically responsible for managing.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for managing these patients is partially or fully based on controlling the total cost of care and / or improving certain quality metrics.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13 states and the District of Columbia with over 4,300 implemented providers and more than 1,090 care center locations, targeting over 160 MPSAs (including 54 out of the largest 100 MPSAs), and an addressable population of over 167 million. Under our standard Privia Medical Group model, we establish provider density using an in-market and national sales and marketing team once we enter a market with an anchor medical group or health system. We accelerate our go-to-market strategy using on the ground market intelligence and a data driven approach to add new practices to our medical group. As our medical groups grow, we transition our markets to value-based programs as demonstrated by the increase in our attributed risk lives across various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speaking, we define a market as a geographic area covered by one of our Medical Groups under a single TIN or covered by one of our Privia Care Partners. A market could comprise a single state, a part of a state or a group of multiple states and/or districts.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Engineered to be Scalable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aim to build relevance in each of our markets with all key constituents (physicians, non-physician clinicians, patients, government programs, commercial payers and employers). Not only do we partner with small and large independent practices focused on primary care, pediatrics, women’s health, and select subspecialties focused on treating chronically ill patients, but we also partner with health systems to both support their current employed or affiliated providers and expand their reach by attracting independent providers in the region into a medical group. We believe the breadth of our approach represents a tremendous opportunity for Privia to provide an alternative physician alignment model to independent provider groups, health systems, and other providers.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deliberate focus on (i) serving patients across the continuum of care, (ii) succeeding in all reimbursement environments, (iii) aligning with diverse provider groups in a capital efficient manner and (iv) expanding nationally across multiple markets have led us to scale our operations meaningfully since inception. Our current scale, corporate, and technology infrastructure, payer and provider relationships and profitability, allow us to expediently enter and achieve profitability in each new geographic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Privia Platform is Designed to Transform the Way Physicians Practice Medicine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Privia’s goal is to reimagine the approach to managing physician organizations and optimize their performance by creating a platform that caters to their unique needs. For our Privia Medical Group model, we do this through five key elements of our platform: (i) focusing on technology and population health,</w:t>
      </w:r>
    </w:p>
    <w:p>
      <w:pPr>
        <w:ind w:left="280" w:hanging="27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single-TIN Medical Group and governance model in each geographic market, (iii) owning and operating an MSO in each local market,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ACOs to capture VBC opportunities, and (v) offering a high quality, low cost provider network for purchasers and payers.</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Technology and Population Health: </w:t>
      </w:r>
      <w:r>
        <w:rPr>
          <w:rFonts w:ascii="Times New Roman" w:cs="Times New Roman" w:eastAsia="Times New Roman" w:hAnsi="Times New Roman"/>
          <w:sz w:val="18"/>
          <w:szCs w:val="18"/>
          <w:color w:val="auto"/>
        </w:rPr>
        <w:t>Too often technology works against, rather than for, providers and patients. The Privia Technology Solution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with our physicians’ and patients’ input to enhance their workflows in both FFS and VBC settings, increasing patient engagement across all stages of a visit, including patient access, pre-visit, at the point of care (both in person and virtual) and post-visit. We seek to optimize our Privia Providers’ technology and marketing so patients can easily find a provider online, schedule an appointment and receive appointment reminders, all of which have been shown to improve patient retention and minimize costly no-shows. On our MyPrivia app, patients can schedule and complete a virtual visit, securely message providers and their care teams, schedule an office appointment, find care options within the Privia network, and access the patient portal. Our technology and tools embed workflow and insights directly into our EMR system so providers can seamlessly assess patients’ health, review their practice performance and provide a superior experience at the point of care (in-person or virtually). Most physician groups deal with an onslaught of disparate information coming from different sources—such as multiple payers and hospitals—resulting in confusion and disorganization for providers at the point of care. Unlike other peers, Privia manages the complexity in the background in order to create a unified workflow and experience for our Medical Groups, Privia Providers, their staff and patients. For example, Privia uses APIs with systems and data exchanges so that our Privia Providers do not need to access other systems during a patient visit. After the visit, our providers follow up with patients using automated education, transitional and chronic care management, care plans, behavioral health and more. We also use patient-satisfaction feedback to continuously improve the patient experience, refine care protocols and increase our Privia Providers’ online visibility. In 2019, we received the HIMSS Innovation Award for our exceptional PRQD program that collects required quality data directly from patients and automatically loads the results into patient records. Our proprietary virtual visit technology is fully integrated into our platform. As of December 31, 2023, our virtual visit platform had logged over 3.0 million visits, conducted by over 4,000 providers, across more than 50 medical specialties. The Privia Technology Solution is the cornerstone to our Medical Groups and ACOs’ ability to succeed across patient demographic cohorts and multiple lines of business (Medicare, Medicare Advantage, MSSP, commercial, etc.).</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Single-TIN Medical Group: </w:t>
      </w:r>
      <w:r>
        <w:rPr>
          <w:rFonts w:ascii="Times New Roman" w:cs="Times New Roman" w:eastAsia="Times New Roman" w:hAnsi="Times New Roman"/>
          <w:sz w:val="18"/>
          <w:szCs w:val="18"/>
          <w:color w:val="auto"/>
        </w:rPr>
        <w:t>In each of our Privia Medical Group markets, we establish a primary care centric single-TIN Medical Group that facilitates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 negotiation, clinical integration and alignment of financial incentives. Our Medical Group governance structure allows Privia Providers to build a clinical culture that adapts to consumers’ and a region’s unique and evolving needs. Privia Providers in our Medical Groups collaborate in physician-organized delivery meetings to review performance data, share best practices, create an environment of accountability, and advance evidence-based medicine while maintaining significant autonomy. At the local leadership level, Privia Physicians across different practice locations, or care centers,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what is most important, taking care of patients, while having a voice in the strategic direction of business operations. The structure also allows previously disconnected providers to share ideas in a broader forum, sharing best practices with each other.</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Management Services Organization: </w:t>
      </w:r>
      <w:r>
        <w:rPr>
          <w:rFonts w:ascii="Times New Roman" w:cs="Times New Roman" w:eastAsia="Times New Roman" w:hAnsi="Times New Roman"/>
          <w:sz w:val="18"/>
          <w:szCs w:val="18"/>
          <w:color w:val="auto"/>
        </w:rPr>
        <w:t>Privia enables our Privia Providers to focus on their patients, not paperwork. Our market-level MSOs leverage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scale to reduce administrative work, increase efficiency, and lower direct costs for our Privia Providers. Our payer contracting team works with multiple private and government payers across markets to construct and participate in VBC programs. As a seven-time recipient of the prestigious HFMA MAP Award, our RCM team meets the high standards for financial results and patient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satisfaction. Our team of performance consultants conduct business operations reviews and audits to optimize our Privia Physicians’ finances and productivity. Our procurement team develops opportunities to reduce provider expenses through participation in group purchasing. Our analytics team enables our Privia Providers to make more data-driven decisions on financial, operational, and clinical initiatives, resulting in same store practice growth across both FFS and VBC programs. Our clinical operations and informatics team ensures the “doctor’s voice” is present in our technology solutions to drive savings and optimize patient outcomes. Our innovative technology improves data security, bolsters the patient-provider relationship, and offers patients a seamless, coordinated experience.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Accountable Care Organizations: </w:t>
      </w:r>
      <w:r>
        <w:rPr>
          <w:rFonts w:ascii="Times New Roman" w:cs="Times New Roman" w:eastAsia="Times New Roman" w:hAnsi="Times New Roman"/>
          <w:sz w:val="18"/>
          <w:szCs w:val="18"/>
          <w:color w:val="auto"/>
        </w:rPr>
        <w:t>Privia has created consistent value across multiple markets and reimbursement models. Our physician-led,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market-based ACOs lower costs, engage patients, reduce inappropriate utilization, and improve coordination and patient quality metrics to drive VBC. Our scale and demonstrated quality metrics allow us to enhance reimbursements for delivering high-quality care. The Privia Technology Solution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provider workflow. Our integrated tools result in cost savings for Privia Providers in both commercial and federal programs by diverting costly patient encounters. Patients who meet with a Privia Provider annually for wellness and preventive care experience on average 61% lower hospitalizations, 47% lower emergency room visits, and 25% lower risk-adjusted total cost of care.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Privia operated seven ACOs that delivered high-value, cost-efficient care to more than 163,000 Medicare beneficiaries, achieving shared savings of $131.7 million through the MSSP, a shared savings increase of 31.8% over 2021. Our total annual expenditures were 8% lower than the median MSSP ACO and 19% lower than total FFS Medicare. Our weighted average emergency room utilization was 20% lower than the median MSSP ACO and 27% lower than total FFS Medicare. Our weighted average outpatient facility spend was 19% lower than the median MSSP ACO and 34% lower than total FFS Medicare. Our weighted average inpatient facility spend was 12% lower than the median MSSP ACO and 24% lower than total FFS Medicare. Since 2014, we have delivered total shared savings across government programs and commercial payers of more than $937 million, including more than $510 million through participation in the MSSP. Our approach has been successful across Commercial, Medicare Advantage, MSSP, and Medicaid, from simpler pay-for-performance programs to more complex partial capitation and risk-based programs.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Privia expanded its number of ACOs in 2023, with a total of ten ACOs serving over 198,000 Medicare beneficiaries across the District of Columbia and eleven states, including California, Connecticut, Delaware, Florida, Georgia, Maryland, Montana, North Carolina, Tennessee, Texas, and Virginia. Out of the ten ACOs, five were participating in the MSSP Enhanced Track with potential upside and downside financial risk. For the 2024 MSSP performance year, Privia will have nine ACOs participating in the MSSP serving approximately 192,000 Medicare beneficiaries following its planned exit from the Delaware ACO. Five of the nine ACOs are participating in the MSSP Enhanced Track in the 2024 MSSP performance year.</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Network for Purchasers and Payers: </w:t>
      </w:r>
      <w:r>
        <w:rPr>
          <w:rFonts w:ascii="Times New Roman" w:cs="Times New Roman" w:eastAsia="Times New Roman" w:hAnsi="Times New Roman"/>
          <w:sz w:val="18"/>
          <w:szCs w:val="18"/>
          <w:color w:val="auto"/>
        </w:rPr>
        <w:t>Privia strives to bring all parts of the care delivery system together for an integrated care plan that is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to improved outcomes at lower cost. Our Medical Groups enable providers to connect across our platform to better understand the holistic needs of each patient and connect them with other aligned and informed providers to address their individual medical needs. This is accomplished by leveraging data from numerous sources and utilizing provider input based on local knowledge to develop aligned virtual narrow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forward thinking health systems to increase alignment with employed, affiliated and independent physicians to optimize resource utilization through our cost-effective, clinically aligned model.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Privia Technology Solution: Our Purpose-Built, End-to-End Technology-Enabled Platform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end-to-end, cloud-based technology-enabled platform streamlines the provider, patient and care team workflows focusing on each of the following aspects: (i) patient access through various avenues (patient portal, mobile app and search engine optimization), (ii) pre-visit analytics and preparation, (iii) in-person or virtual care delivery and (iv) post visit analytics, care-coordination and reporting. Our technology-enabled platform enables us to scale operations across over 4,300 implemented providers in multiple markets, enhance performance across multiple payer contracts and deliver superior quality care to patients across the demographic spectrum.</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technology-enabled platform supports providers by leveraging machine learning and artificial intelligence to reduce or automate tasks that needlessly create administrative burden. In addition, our technology-enabled platform helps us scale operationally, as our product designers and engineers collaborate closely with clinical and operational teams to optimize workflows as we enter new markets and new payer contracts. Our platform is built on a modern cloud-based technology stack employing agile development cycles. Our technology architecture utilizes API standards for ease of implementing new functionalities and integrating with multiple external systems.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Patient Access: </w:t>
      </w:r>
      <w:r>
        <w:rPr>
          <w:rFonts w:ascii="Times New Roman" w:cs="Times New Roman" w:eastAsia="Times New Roman" w:hAnsi="Times New Roman"/>
          <w:sz w:val="18"/>
          <w:szCs w:val="18"/>
          <w:color w:val="auto"/>
        </w:rPr>
        <w:t>We optimize practices’ web presence so patients can easily find and schedule an appointment with a provider online and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reminders to fortify patient retention and avoid costly no-shows. We offer a seamless experience through our mobile app and patient portal that amplifies the patient and provider relationship. Our tools empower patients to access personal health information and stay connected with their providers by equipping physicians with the tools they need to deliver quality, affordable care when, where, and how patients need it.</w:t>
      </w:r>
    </w:p>
    <w:p>
      <w:pPr>
        <w:spacing w:after="0" w:line="68" w:lineRule="exact"/>
        <w:rPr>
          <w:sz w:val="20"/>
          <w:szCs w:val="20"/>
          <w:color w:val="auto"/>
        </w:rPr>
      </w:pPr>
    </w:p>
    <w:p>
      <w:pPr>
        <w:jc w:val="both"/>
        <w:ind w:left="820" w:hanging="326"/>
        <w:spacing w:after="0" w:line="268"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Capabilities</w:t>
      </w:r>
      <w:r>
        <w:rPr>
          <w:rFonts w:ascii="Times New Roman" w:cs="Times New Roman" w:eastAsia="Times New Roman" w:hAnsi="Times New Roman"/>
          <w:sz w:val="18"/>
          <w:szCs w:val="18"/>
          <w:color w:val="auto"/>
        </w:rPr>
        <w:t>: Practice Websites with Online Reputation Management (ORM) and Search Engine Optimization (SEO), Online Self-Scheduling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Physician Search, Mobile App, Online Check-in, Appointment Reminders, Secure Patient Messaging, 24/7 Nurse Triage Call Center, and 24/7 On-demand Virtual Visits for immediate or primary care.</w:t>
      </w:r>
    </w:p>
    <w:p>
      <w:pPr>
        <w:spacing w:after="0" w:line="62" w:lineRule="exact"/>
        <w:rPr>
          <w:rFonts w:ascii="Times New Roman" w:cs="Times New Roman" w:eastAsia="Times New Roman" w:hAnsi="Times New Roman"/>
          <w:sz w:val="18"/>
          <w:szCs w:val="18"/>
          <w:color w:val="auto"/>
        </w:rPr>
      </w:pPr>
    </w:p>
    <w:p>
      <w:pPr>
        <w:ind w:left="820" w:hanging="326"/>
        <w:spacing w:after="0" w:line="286"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Outcomes: </w:t>
      </w:r>
      <w:r>
        <w:rPr>
          <w:rFonts w:ascii="Times New Roman" w:cs="Times New Roman" w:eastAsia="Times New Roman" w:hAnsi="Times New Roman"/>
          <w:sz w:val="18"/>
          <w:szCs w:val="18"/>
          <w:color w:val="auto"/>
        </w:rPr>
        <w:t>approximately 570 practice websites managed; approximately 2,000 providers on online scheduling; approximately 390,000 distinct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mobile app users annually, over 90% mobile and 80% email collection rates; over 75% email open rate.</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Pre-visit: </w:t>
      </w:r>
      <w:r>
        <w:rPr>
          <w:rFonts w:ascii="Times New Roman" w:cs="Times New Roman" w:eastAsia="Times New Roman" w:hAnsi="Times New Roman"/>
          <w:sz w:val="18"/>
          <w:szCs w:val="18"/>
          <w:color w:val="auto"/>
        </w:rPr>
        <w:t>The Privia Platform prepares providers to more efficiently see patients, and facilitates improved outcomes before the patient enters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 room. Our technology and tools embed insights directly into our EMR so providers can seamlessly assess both patients’ health and practice performance. We acquire data from across the healthcare ecosystem for a single view of the patient. Privia’s solutions preemptively identify opportunities before the patient visit, using huddle reports and patient stratification. Our platform allows providers to proactively identify patient attribution, open quality gaps, open coding gaps, assess patient risk level and determine care management eligibility.</w:t>
      </w:r>
    </w:p>
    <w:p>
      <w:pPr>
        <w:spacing w:after="0" w:line="71"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Capabilities: </w:t>
      </w:r>
      <w:r>
        <w:rPr>
          <w:rFonts w:ascii="Times New Roman" w:cs="Times New Roman" w:eastAsia="Times New Roman" w:hAnsi="Times New Roman"/>
          <w:sz w:val="18"/>
          <w:szCs w:val="18"/>
          <w:color w:val="auto"/>
        </w:rPr>
        <w:t>Interoperability, Interface Management, Patient Portal, Online Check-In, Kiosks, Huddle Reports, and Chart Preparation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Outcomes: </w:t>
      </w:r>
      <w:r>
        <w:rPr>
          <w:rFonts w:ascii="Times New Roman" w:cs="Times New Roman" w:eastAsia="Times New Roman" w:hAnsi="Times New Roman"/>
          <w:sz w:val="18"/>
          <w:szCs w:val="18"/>
          <w:color w:val="auto"/>
        </w:rPr>
        <w:t>over 1,000 file exchanges with payers per month on average, over 65% patient portal adoption rate</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During Visit: </w:t>
      </w:r>
      <w:r>
        <w:rPr>
          <w:rFonts w:ascii="Times New Roman" w:cs="Times New Roman" w:eastAsia="Times New Roman" w:hAnsi="Times New Roman"/>
          <w:sz w:val="18"/>
          <w:szCs w:val="18"/>
          <w:color w:val="auto"/>
        </w:rPr>
        <w:t>Whether an appointment is in-person at one of our more than 1,090 care centers or through our leading telehealth platform, our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ensures a streamlined provider and patient interaction. Privia integrates the quality workflow within the point-of-care in the EMR. Our solutions allow providers and care teams to close quality gaps during the patient visit by leveraging external data and enlisting patients for self-gap closure. The solutions are built on evidence-based guidelines managed by committees of physicians. Furthermore, we prioritize key risk adjustment gaps, recapture prior diagnoses and embed suspect medical conditions within the EMR.</w:t>
      </w:r>
    </w:p>
    <w:p>
      <w:pPr>
        <w:spacing w:after="0" w:line="71"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Capabilities</w:t>
      </w:r>
      <w:r>
        <w:rPr>
          <w:rFonts w:ascii="Times New Roman" w:cs="Times New Roman" w:eastAsia="Times New Roman" w:hAnsi="Times New Roman"/>
          <w:sz w:val="18"/>
          <w:szCs w:val="18"/>
          <w:color w:val="auto"/>
        </w:rPr>
        <w:t>: Embedded Virtual Visit Technology, Embedded Quality and Risk Gaps, Referral Decision Support, Virtual Scribes.</w:t>
      </w:r>
    </w:p>
    <w:p>
      <w:pPr>
        <w:spacing w:after="0" w:line="117" w:lineRule="exact"/>
        <w:rPr>
          <w:rFonts w:ascii="Times New Roman" w:cs="Times New Roman" w:eastAsia="Times New Roman" w:hAnsi="Times New Roman"/>
          <w:sz w:val="18"/>
          <w:szCs w:val="18"/>
          <w:color w:val="auto"/>
        </w:rPr>
      </w:pPr>
    </w:p>
    <w:p>
      <w:pPr>
        <w:ind w:left="820" w:hanging="326"/>
        <w:spacing w:after="0" w:line="28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Outcomes</w:t>
      </w:r>
      <w:r>
        <w:rPr>
          <w:rFonts w:ascii="Times New Roman" w:cs="Times New Roman" w:eastAsia="Times New Roman" w:hAnsi="Times New Roman"/>
          <w:sz w:val="18"/>
          <w:szCs w:val="18"/>
          <w:color w:val="auto"/>
        </w:rPr>
        <w:t>: Average quality score exceeded 85% across all seven ACOs in the MSSP 2022 performance year, and exceeded the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standard to share in savings at the maximum sharing rate</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Between Visits: </w:t>
      </w:r>
      <w:r>
        <w:rPr>
          <w:rFonts w:ascii="Times New Roman" w:cs="Times New Roman" w:eastAsia="Times New Roman" w:hAnsi="Times New Roman"/>
          <w:sz w:val="18"/>
          <w:szCs w:val="18"/>
          <w:color w:val="auto"/>
        </w:rPr>
        <w:t>After the visit, we support treatment with patient education tools, automated standing orders based health event data triggers, transitional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chronic care management, care plans, and more. We also use patient-satisfaction feedback to increase practices’ online visibility. Our system sends secure messages to patients within the patient portal and messages are sent on behalf of the provider and care team. Our proprietary care team application is integrated within the EMR and patient portal enabling clinical assessments and templates to guide care team’s workflows. Privia Connect, our proprietary provider community application, is a resource hub and training platform for all provider needs.</w:t>
      </w:r>
    </w:p>
    <w:p>
      <w:pPr>
        <w:spacing w:after="0" w:line="71" w:lineRule="exact"/>
        <w:rPr>
          <w:sz w:val="20"/>
          <w:szCs w:val="20"/>
          <w:color w:val="auto"/>
        </w:rPr>
      </w:pPr>
    </w:p>
    <w:p>
      <w:pPr>
        <w:ind w:left="820" w:hanging="326"/>
        <w:spacing w:after="0" w:line="286"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Capabilities: </w:t>
      </w:r>
      <w:r>
        <w:rPr>
          <w:rFonts w:ascii="Times New Roman" w:cs="Times New Roman" w:eastAsia="Times New Roman" w:hAnsi="Times New Roman"/>
          <w:sz w:val="18"/>
          <w:szCs w:val="18"/>
          <w:color w:val="auto"/>
        </w:rPr>
        <w:t>Patient Portal, Patient Satisfaction Surveys, PRQD, Automated Patient Outreach, Care Plans, Care Management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Analytics Platform</w:t>
      </w:r>
    </w:p>
    <w:p>
      <w:pPr>
        <w:spacing w:after="0" w:line="4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Outcomes:</w:t>
      </w:r>
    </w:p>
    <w:p>
      <w:pPr>
        <w:spacing w:after="0" w:line="121"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Privia conducts approximately 67,000 patient surveys per week</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survey response rate</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of any negative feedback commenced within 24 hours</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75% email open rate on all emails sent to patients; more than 49,000 gaps closed in 2023</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provider adoption of Privia Connect application; ~3,500 self-service knowledge-based articles; over 620 online courses available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Virtual Visit Capabilities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Legacy telehealth platforms have traditionally offered virtual visits as an isolated encounter between a patient and a medical provider who do not have an existing relationship. In most instances, any clinical notes from the telehealth visit are not integrated into the patient’s primary EMR. This gap in clinical data typically contributes to poor health outcomes and increased healthcare costs. Privia’s proprietary virtual health platform is fully integrated with our patients’ EMR so our primary care providers can readily access data from virtual visits. Our patients can also use the telehealth platform to schedule a virtual visit with a provider of their choice, an in-person follow-up visit or a referral to a specialist. Therefore, our patients do not need to choose between a telehealth visit at their convenience and seeing a trusted provider.</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end of 2019, approximately 250 Privia Providers conducted ~350 virtual visits per week. In March 2020, Privia’s virtual visit volumes increased from ~100 per day to more than 6,000 per day on average without operational disruption and zero downtime on Privia’s proprietary virtual visit platform. Virtual visit volume increased rapidly, from approximately 0.3% of all visits prior to the COVID outbreak to more than 45% by the beginning of April 2020. Privia Providers representing more than 50 medical specialties continued delivering care to patients via our proprietary telehealth platform through</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2023. We further launched our 24/7 Virtual Clinic, providing on demand access to Privia Providers for immediate care if a patient’s primary care provider is not available.</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over 1.0 million distinct Privia patients have completed over 3.0 million virtual visits. Of all patients seen by a Privia Provider virtually, 94% did not return to the same doctor or another doctor in the same specialty for a follow up visit within seven days. During the year ended December 31, 2023, approximately 10% of our visit volume was delivered virtually across our markets and specialties and we anticipate that to hold steady in the post-COVID 19 PHE landscape.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our virtual visit capability fully embedded in our provider workflows and technology stack, Privia practices across our markets have leveraged the virtual health platform to drive improvements in provider productivity, new patient volume and market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Provider Partnership Approach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transforming healthcare by empowering physicians. We know that providers are uniquely positioned to reshape healthcare, but they need the right organization, tools, technology, talent and governance to support them. That is where Privia comes in. Our high-performance medical groups, proprietary technology, physician leadership and team-based approach help our providers manage the health of their communities through exceptional patient experiences. We follow a proven process to move providers and markets to value through the following:</w:t>
      </w:r>
    </w:p>
    <w:p>
      <w:pPr>
        <w:spacing w:after="0" w:line="68" w:lineRule="exact"/>
        <w:rPr>
          <w:sz w:val="20"/>
          <w:szCs w:val="20"/>
          <w:color w:val="auto"/>
        </w:rPr>
      </w:pPr>
    </w:p>
    <w:p>
      <w:pPr>
        <w:jc w:val="both"/>
        <w:ind w:left="820" w:hanging="326"/>
        <w:spacing w:after="0" w:line="26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High-Performing Medical Groups: </w:t>
      </w:r>
      <w:r>
        <w:rPr>
          <w:rFonts w:ascii="Times New Roman" w:cs="Times New Roman" w:eastAsia="Times New Roman" w:hAnsi="Times New Roman"/>
          <w:sz w:val="18"/>
          <w:szCs w:val="18"/>
          <w:color w:val="auto"/>
        </w:rPr>
        <w:t>Privia forms high performing medical groups in almost all of its markets. Our structure allows providers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 medicine as part of a larger clinically and financially integrated medical group while maintaining their legacy ownership structure and affiliations. Privia’s top-performing providers work together to optimize utilization and costs, improve the patient experience, and advance population health</w:t>
      </w:r>
    </w:p>
    <w:p>
      <w:pPr>
        <w:spacing w:after="0" w:line="68" w:lineRule="exact"/>
        <w:rPr>
          <w:rFonts w:ascii="Times New Roman" w:cs="Times New Roman" w:eastAsia="Times New Roman" w:hAnsi="Times New Roman"/>
          <w:sz w:val="18"/>
          <w:szCs w:val="18"/>
          <w:color w:val="auto"/>
        </w:rPr>
      </w:pPr>
    </w:p>
    <w:p>
      <w:pPr>
        <w:jc w:val="both"/>
        <w:ind w:left="820" w:hanging="326"/>
        <w:spacing w:after="0" w:line="268"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Superior Management Services Organization</w:t>
      </w:r>
      <w:r>
        <w:rPr>
          <w:rFonts w:ascii="Times New Roman" w:cs="Times New Roman" w:eastAsia="Times New Roman" w:hAnsi="Times New Roman"/>
          <w:sz w:val="18"/>
          <w:szCs w:val="18"/>
          <w:color w:val="auto"/>
        </w:rPr>
        <w:t>: Privia is a purpose-built organization that arms physicians with key expertise and assistance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crucial practice needs such as contract negotiations, RCM, clinical operations, information technology and administrative support so that physicians can focus on what matters: delivering high-quality care to patients across the continuum of care</w:t>
      </w:r>
    </w:p>
    <w:p>
      <w:pPr>
        <w:spacing w:after="0" w:line="62" w:lineRule="exact"/>
        <w:rPr>
          <w:rFonts w:ascii="Times New Roman" w:cs="Times New Roman" w:eastAsia="Times New Roman" w:hAnsi="Times New Roman"/>
          <w:sz w:val="18"/>
          <w:szCs w:val="18"/>
          <w:color w:val="auto"/>
        </w:rPr>
      </w:pPr>
    </w:p>
    <w:p>
      <w:pPr>
        <w:jc w:val="both"/>
        <w:ind w:left="820" w:hanging="326"/>
        <w:spacing w:after="0" w:line="268"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Enabling Transition to and Success in VBC: </w:t>
      </w:r>
      <w:r>
        <w:rPr>
          <w:rFonts w:ascii="Times New Roman" w:cs="Times New Roman" w:eastAsia="Times New Roman" w:hAnsi="Times New Roman"/>
          <w:sz w:val="18"/>
          <w:szCs w:val="18"/>
          <w:color w:val="auto"/>
        </w:rPr>
        <w:t>We partner with all provider types across all reimbursement programs including Medicare,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Medicare Advantage, Medicaid, and Commercial to successfully navigate the transition to VBC. We enable providers to run a more fulfilling, financially viable practice while providing superior patient experiences</w:t>
      </w:r>
    </w:p>
    <w:p>
      <w:pPr>
        <w:spacing w:after="0" w:line="62" w:lineRule="exact"/>
        <w:rPr>
          <w:rFonts w:ascii="Times New Roman" w:cs="Times New Roman" w:eastAsia="Times New Roman" w:hAnsi="Times New Roman"/>
          <w:sz w:val="18"/>
          <w:szCs w:val="18"/>
          <w:color w:val="auto"/>
        </w:rPr>
      </w:pPr>
    </w:p>
    <w:p>
      <w:pPr>
        <w:jc w:val="both"/>
        <w:ind w:left="820" w:hanging="326"/>
        <w:spacing w:after="0" w:line="268"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Enhanced Patient Experience</w:t>
      </w:r>
      <w:r>
        <w:rPr>
          <w:rFonts w:ascii="Times New Roman" w:cs="Times New Roman" w:eastAsia="Times New Roman" w:hAnsi="Times New Roman"/>
          <w:sz w:val="18"/>
          <w:szCs w:val="18"/>
          <w:color w:val="auto"/>
        </w:rPr>
        <w:t>: We empower and engage patients with tools and technology, such as our MyPrivia mobile app, patient portal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telehealth capabilities. This approach prioritizes the patient-provider relationship and helps deliver care when, where, and how patients want to connect with their providers</w:t>
      </w:r>
    </w:p>
    <w:p>
      <w:pPr>
        <w:spacing w:after="0" w:line="62" w:lineRule="exact"/>
        <w:rPr>
          <w:rFonts w:ascii="Times New Roman" w:cs="Times New Roman" w:eastAsia="Times New Roman" w:hAnsi="Times New Roman"/>
          <w:sz w:val="18"/>
          <w:szCs w:val="18"/>
          <w:color w:val="auto"/>
        </w:rPr>
      </w:pPr>
    </w:p>
    <w:p>
      <w:pPr>
        <w:jc w:val="both"/>
        <w:ind w:left="820" w:hanging="326"/>
        <w:spacing w:after="0" w:line="26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Superior Clinical Quality</w:t>
      </w:r>
      <w:r>
        <w:rPr>
          <w:rFonts w:ascii="Times New Roman" w:cs="Times New Roman" w:eastAsia="Times New Roman" w:hAnsi="Times New Roman"/>
          <w:sz w:val="18"/>
          <w:szCs w:val="18"/>
          <w:color w:val="auto"/>
        </w:rPr>
        <w:t>: Privia enables better clinical quality by putting patient outcome data in front of providers that they never had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providing additional clinical programs, such as care management and behavioral health. For example, patients who meet with a Privia Provider annually for wellness and preventive care experience 61% lower hospitalizations, 47% lower emergency room visits, and 25% lower risk-adjusted total cost of care.</w:t>
      </w:r>
    </w:p>
    <w:p>
      <w:pPr>
        <w:spacing w:after="0" w:line="68" w:lineRule="exact"/>
        <w:rPr>
          <w:rFonts w:ascii="Times New Roman" w:cs="Times New Roman" w:eastAsia="Times New Roman" w:hAnsi="Times New Roman"/>
          <w:sz w:val="18"/>
          <w:szCs w:val="18"/>
          <w:color w:val="auto"/>
        </w:rPr>
      </w:pPr>
    </w:p>
    <w:p>
      <w:pPr>
        <w:jc w:val="both"/>
        <w:ind w:left="820" w:hanging="326"/>
        <w:spacing w:after="0" w:line="268"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Delivering Financial Rewards: </w:t>
      </w:r>
      <w:r>
        <w:rPr>
          <w:rFonts w:ascii="Times New Roman" w:cs="Times New Roman" w:eastAsia="Times New Roman" w:hAnsi="Times New Roman"/>
          <w:sz w:val="18"/>
          <w:szCs w:val="18"/>
          <w:color w:val="auto"/>
        </w:rPr>
        <w:t>Ultimately, our model results in significant financial rewards for our providers by (i) enhancing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efficiency and increasing patient panel sizes, (ii) increasing revenue from FFS and value-based contracts and (iii) reducing overall direct and indirect cost to provide care and manage their practices.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and Physician Leadership Culture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multipurpose governance model includes a local governance structure to meet each market’s needs and continuously improves various aspects of our patient, physician and payer relationships. Privia Physicians hold the majority of board positions in our Owned Medical Groups and ACOs, including sole authority over matters related to the practice of medicine, and we either have exclusive authority over certain strategic issues such as mergers and acquisitions, and termination of our MSA or veto authority relative to certain strategic decision making. The intent being to balance physician leadership on clinical matters while acknowledging that certain matters will require action by Privia given the fact that Privia contributed the capital and intellectual knowledge to establish the Owned Medical Groups and ACOs. In addition, our National Physician Advisory Council (“NPAC”) brings together the clinical and executive local market leadership across the country to provide valuable input to improve our common technology-enabled platform, physician facing data reporting, common quality initiatives, marketing and product performance.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auspices of the NPAC, various individual specialty collaboratives meet both locally and nationally to address common issues, bring best practices and models of success to the forefront. As an example, Privia Women’s Health focuses on advancing VBC and performance in women’s health, including participation in building VBC-contracting models with bundled payments and episodes of care, and including remote patient monitoring in pregnancy. The pediatric collaborative successfully brings forward strategies to engage patients and families in continuing pediatric care through continuous education, information, structural changes and innovative ways of keeping patients and family safe including virtual visits, vaccination programs, and triaging for in person visits.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Physician culture begins at selection of high performing, well-respected practices in their communities to join Privia, and continues with on boarding and implementation, continuous education on VBC, physician led PODS and participation at both the market and national executive and clinical leadership levels.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Impact</w:t>
      </w:r>
    </w:p>
    <w:p>
      <w:pPr>
        <w:spacing w:after="0" w:line="117" w:lineRule="exact"/>
        <w:rPr>
          <w:sz w:val="20"/>
          <w:szCs w:val="20"/>
          <w:color w:val="auto"/>
        </w:rPr>
      </w:pPr>
    </w:p>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Patients: </w:t>
      </w:r>
      <w:r>
        <w:rPr>
          <w:rFonts w:ascii="Times New Roman" w:cs="Times New Roman" w:eastAsia="Times New Roman" w:hAnsi="Times New Roman"/>
          <w:sz w:val="18"/>
          <w:szCs w:val="18"/>
          <w:color w:val="auto"/>
        </w:rPr>
        <w:t>Privia currently serves over 4.8 million patients across the continuum of care. Our total cost of care framework enables us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enhanced care regardless of whether the patient is healthy, early stage chronic, high risk, poly-chronic or a complex case. Our framework focuses on: (i) expanded access through our more than 1,090 care center locations or virtually (ii) proactive referral management (iii) chronic care management and behavioral health and (iv) complex care management and palliative care. Our technology provides an improved patient experience and better outcomes through our MyPrivia app and patient portal, including helpful automated reminders to stay on top of health events, 24/7 virtual immediate care and nurse care advice. As an example, patients who meet with a Privia Provider annually for wellness and preventive care experience 61% lower hospitalizations, 47% lower emergency room visits, and 25% lower risk-adjusted total cost of care. Patients enrolled in Privia’s diabetes program, which focuses on managing blood sugar, blood pressure, kidney disease, and cholesterol, experience 38% lower hospitalizations, 30% lower emergency room visits, and 27% lower risk-adjusted total cost of care than diabetics who do not enroll.</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Providers</w:t>
      </w:r>
      <w:r>
        <w:rPr>
          <w:rFonts w:ascii="Times New Roman" w:cs="Times New Roman" w:eastAsia="Times New Roman" w:hAnsi="Times New Roman"/>
          <w:sz w:val="18"/>
          <w:szCs w:val="18"/>
          <w:color w:val="auto"/>
        </w:rPr>
        <w:t>: Transforming healthcare requires innovative, diverse solutions that position providers at the forefront. Privia’s physician-led approach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enables providers to practice medicine the way they want with the support they need, thrive in VBC, and stay connected with their patients. We combine talent, tools and technology to ensure that Privia Providers are less burdened with administrative tasks, spend more time with their patients and are rewarded for managing their patients’ cost of care effectively. As a result, the Privia Platform has grown significantly over the past few years, scaling from more than 250 implemented providers in 2014 to over 4,300 implemented providers on the platform today.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Systems: </w:t>
      </w:r>
      <w:r>
        <w:rPr>
          <w:rFonts w:ascii="Times New Roman" w:cs="Times New Roman" w:eastAsia="Times New Roman" w:hAnsi="Times New Roman"/>
          <w:sz w:val="18"/>
          <w:szCs w:val="18"/>
          <w:color w:val="auto"/>
        </w:rPr>
        <w:t>Our physician expertise, top talent, and technology helps health systems navigate complex policies, competing priorities,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changing healthcare landscape. Privia solves these challenges by advancing immediate business goals, aligning physicians, and positioning the health system organization for long-term success in a value-based market. We partner with forward thinking providers to address their most pressing needs by providing: (i) a physician alignment platform for health systems seeking a more efficient model to align and build loyalty with community physicians (ii) a medical group enablement strategy for health systems looking to reduce operating losses from an employed medical group and (iii) a medical group privatization strategy for health systems seeking to eliminate subsidies from a physician employment model. Our flexible, scalable, capital-efficient model generates cost savings and top-line growth in a shifting reimbursement environment. Our team’s vast industry knowledge and experience with health plans (including health system or integrated delivery network owned) and physician groups inform our practice management, VBC, and IT support and implementation. This expertise drives consistency, repeatability, and scalability of workflows, metrics, and outcomes. Our cloud-based technology unites physicians and integrates into health systems’ existing workflows. This seamless data delivery at the point of care increases connectivity, improves care coordination, and provides data to negotiate risk-based payer contracts and engage patients of a health system.</w:t>
      </w:r>
    </w:p>
    <w:p>
      <w:pPr>
        <w:spacing w:after="0" w:line="8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Payers: </w:t>
      </w:r>
      <w:r>
        <w:rPr>
          <w:rFonts w:ascii="Times New Roman" w:cs="Times New Roman" w:eastAsia="Times New Roman" w:hAnsi="Times New Roman"/>
          <w:sz w:val="18"/>
          <w:szCs w:val="18"/>
          <w:color w:val="auto"/>
        </w:rPr>
        <w:t>We differentiate payers’ benefits and network designs to expand market share and remain competitive. Privia offers tools that enrich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experience, optimize utilization, steer care to cost-efficient settings, and embrace value-based contracts. Our high-performance, localized provider networks leverage technology and care coordination to lower the risk of costly patient events and improve health outcomes. Our tools engage patients, close care gaps, and connect primary care providers and specialists to avoid unnecessary patient encounters. We align incentives with our payer partners by linking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to rewards and enter into innovative custom contracts serving all demographics and populations across the continuum of care.</w:t>
      </w:r>
    </w:p>
    <w:p>
      <w:pPr>
        <w:spacing w:after="0" w:line="113" w:lineRule="exact"/>
        <w:rPr>
          <w:sz w:val="20"/>
          <w:szCs w:val="20"/>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Employers: </w:t>
      </w:r>
      <w:r>
        <w:rPr>
          <w:rFonts w:ascii="Times New Roman" w:cs="Times New Roman" w:eastAsia="Times New Roman" w:hAnsi="Times New Roman"/>
          <w:sz w:val="18"/>
          <w:szCs w:val="18"/>
          <w:color w:val="auto"/>
        </w:rPr>
        <w:t>Privia seeks to create significant benefits directly to employers through the improvement of benefit design, simplicity of 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friction with the healthcare system. We deliver high performance networks, custom network design, advanced telehealth capabilities, and patient engagement tools. We work with employers to deliver innovative, customized medical benefits packages supported by our cost-efficient, high-quality provider networks. Our enhanced primary care model offers superior care to their employees while lowering per-member, per-year costs. Our high-performance networks connect primary care and specialty providers to ensure employee care is streamlined, coordinated, and efficient. With 24/7 accessibility and a user-friendly interface, our virtual visits technology can save time, decrease absenteeism, and improve employee satisfaction. Patients can message providers, refill prescriptions, view test results, pay bills, and schedule visits through our mobile app or patient portal.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Privia is a technology-enabled platform designed to transform the healthcare delivery experience for patients and physicians. We believe that employed and independent providers are seeking an alternative platform to help them navigate and succeed in an environment of shifting reimbursement mechanisms and consolidation among health systems, payers, and other sectors in the healthcare ecosystem. Moreover, the government, patients, and employers continue to expect primary care providers to provide better access, lower total cost, and higher-quality care, which we believe is a powerful trend in our favor.</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Privia is expanding its technology-enabled platform designed to transform the healthcare delivery experience from a traditional FFS to VBC reimbursement model. </w:t>
      </w:r>
      <w:r>
        <w:rPr>
          <w:rFonts w:ascii="Times New Roman" w:cs="Times New Roman" w:eastAsia="Times New Roman" w:hAnsi="Times New Roman"/>
          <w:sz w:val="18"/>
          <w:szCs w:val="18"/>
          <w:color w:val="auto"/>
        </w:rPr>
        <w:t>We believe that our platform enables us to enter new geographies, establish our primary care centric provider network and move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toward transformational VBC. We serve patients across demographics and medical complexities and also participate in different reimbursement models.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align our success with that of our Privia Physicians and enable them to maximize the potential of their practices across their entire patient panel. </w:t>
      </w:r>
      <w:r>
        <w:rPr>
          <w:rFonts w:ascii="Times New Roman" w:cs="Times New Roman" w:eastAsia="Times New Roman" w:hAnsi="Times New Roman"/>
          <w:sz w:val="18"/>
          <w:szCs w:val="18"/>
          <w:color w:val="auto"/>
        </w:rPr>
        <w:t>Our proven, flexible platform delivers tailored solutions to secure providers’ futures, regardless of their starting point on the transition to value.</w:t>
      </w:r>
    </w:p>
    <w:p>
      <w:pPr>
        <w:spacing w:after="0" w:line="87" w:lineRule="exact"/>
        <w:rPr>
          <w:sz w:val="20"/>
          <w:szCs w:val="20"/>
          <w:color w:val="auto"/>
        </w:rPr>
      </w:pPr>
    </w:p>
    <w:p>
      <w:pPr>
        <w:ind w:left="660" w:hanging="328"/>
        <w:spacing w:after="0" w:line="237"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FFS</w:t>
      </w:r>
      <w:r>
        <w:rPr>
          <w:rFonts w:ascii="Times New Roman" w:cs="Times New Roman" w:eastAsia="Times New Roman" w:hAnsi="Times New Roman"/>
          <w:sz w:val="18"/>
          <w:szCs w:val="18"/>
          <w:color w:val="auto"/>
        </w:rPr>
        <w:t>: At the onset of our relationship, we seek to create value for our Privia Providers through more competitive payer contracts, improved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strengthened networks, and revenue cycle and productivity gains driven by our technology-enabled platform.</w:t>
      </w:r>
    </w:p>
    <w:p>
      <w:pPr>
        <w:spacing w:after="0" w:line="126"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VBC</w:t>
      </w:r>
      <w:r>
        <w:rPr>
          <w:rFonts w:ascii="Times New Roman" w:cs="Times New Roman" w:eastAsia="Times New Roman" w:hAnsi="Times New Roman"/>
          <w:sz w:val="18"/>
          <w:szCs w:val="18"/>
          <w:color w:val="auto"/>
        </w:rPr>
        <w:t>: Over time, we create incremental value for our Privia Providers by enabling them to succeed in VBC models which are highly aligned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Our technology, training, robust networks and governance structures are foundational components powering our track record of success in programs such as enhanced reimbursement through the MSSP, Medicare Advantage, Medicaid, commercial and other direct payer and employer contracting programs.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align incentives with our Privia Physicians and those who fund healthcare spend by designing our revenue model such that we share in the benefit of our partners achieving better outcomes, regardless of reimbursement environment. Our fees are aligned with our Privia Physician practices’ revenue streams, including both FFS and VBC reimbursements, and particularly the latter as we continue moving into successful long term value-based arrangements. We sign multiyear contracts with our Privia Physicians, creating highly predictable and recurring revenue. This stable revenue stream and our demonstrated ability to scale inform our growth plans as well as our ability to achieve attractive unit economics.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end-to-end, cloud-based technology-enabled platform improves practice efficiency, patient and provider experiences and healthcare outcomes. </w:t>
      </w:r>
      <w:r>
        <w:rPr>
          <w:rFonts w:ascii="Times New Roman" w:cs="Times New Roman" w:eastAsia="Times New Roman" w:hAnsi="Times New Roman"/>
          <w:sz w:val="18"/>
          <w:szCs w:val="18"/>
          <w:color w:val="auto"/>
        </w:rPr>
        <w:t>Our technology-enabled platform is designed to increase provider workflow efficiency, to enhance patient experience and engagement, achieves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total cost of care, improves healthcare outcomes and increases revenue for our Privia Physicians’ practices, enabling them to succeed across changing reimbursement environments. In addition, our platform eliminates the need for our Medical Groups to purchase and integrate numerous single-point solutions, thereby removing administrative burden and enhancing overall provider experience.</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Our platform is designed to improve patient outcomes through superior clinical quality. </w:t>
      </w:r>
      <w:r>
        <w:rPr>
          <w:rFonts w:ascii="Times New Roman" w:cs="Times New Roman" w:eastAsia="Times New Roman" w:hAnsi="Times New Roman"/>
          <w:sz w:val="18"/>
          <w:szCs w:val="18"/>
          <w:color w:val="auto"/>
        </w:rPr>
        <w:t>Privia brings a value-based philosophy of clinical care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leads to higher quality results. Through advanced analytics we identify rising risk and high-risk patients, and ensure that all patients receive the necessary preventive care. We provide additional clinical support to our Privia Providers and patients through an integrated care team model—including nurse care managers, care coordinators, chronic care (such as diabetes), behavioral health, palliative care, and more. Unlike most traditional medical groups, our care team is seamlessly integrated into the entire care experience, working off of the same patient record and integrated into practice workflows, rather than a disconnected third-party vendor. This approach has led to favorable outcomes; for example, patients enrolled in our diabetes management program experience on average 30% lower emergency room visits, 38% lower hospitalizations, and 27% lower cost of care. Privia is also recognized for being in the top 20th percentile of comparable MSSP ACOs nationally in HbA1c control for diabetic patients and in the top 30th percentile for quality measures such as fall risk screening, colorectal cancer screening, and breast cancer screening.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We provide the benefit of scale while also offering flexibility with ownership structures</w:t>
      </w:r>
      <w:r>
        <w:rPr>
          <w:rFonts w:ascii="Times New Roman" w:cs="Times New Roman" w:eastAsia="Times New Roman" w:hAnsi="Times New Roman"/>
          <w:sz w:val="18"/>
          <w:szCs w:val="18"/>
          <w:color w:val="auto"/>
        </w:rPr>
        <w:t>. Physicians and providers join our single-TIN Medical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geographic markets while maintaining significant autonomy and retaining ownership of their legacy practice assets. Physicians and providers are able to join our platform regardless of whether they are independent, affiliated or employed by a larger provider entity, such as a health system, large medical group, or other captive physician models. Our scale, technology-enabled platform, more competitive payer contracts, leading practice operations and physician governance are designed to enable our Privia Providers’ practices to grow revenue and succeed in VBC reimbursement models.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Ability to enter and move markets to VBC: </w:t>
      </w:r>
      <w:r>
        <w:rPr>
          <w:rFonts w:ascii="Times New Roman" w:cs="Times New Roman" w:eastAsia="Times New Roman" w:hAnsi="Times New Roman"/>
          <w:sz w:val="18"/>
          <w:szCs w:val="18"/>
          <w:color w:val="auto"/>
        </w:rPr>
        <w:t>We believe we have demonstrated our ability to establish a market presence in multiple geographies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 cost efficient, high quality provider networks capable of successfully transitioning to VBC. We meet providers where they are in the journey, helping them move forward along the continuum of VBC. Privia enables our Privia Providers to succeed in VBC, and provides additional clinical programs to support patients such as care management, transitional care management, behavioral health, remote-patient monitoring, and palliative care.</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End-to-end, cloud-based, technology-enabled platform</w:t>
      </w:r>
      <w:r>
        <w:rPr>
          <w:rFonts w:ascii="Times New Roman" w:cs="Times New Roman" w:eastAsia="Times New Roman" w:hAnsi="Times New Roman"/>
          <w:sz w:val="18"/>
          <w:szCs w:val="18"/>
          <w:color w:val="auto"/>
        </w:rPr>
        <w:t>: The Privia Technology Solution integrates key elements of numerous single-point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enabling our practices to succeed in all forms of VBC and FFS reimbursement environments while creating efficiency across the physician workflow and enhancing the patient experience. The Privia Technology Solution utilizes artificial intelligence and machine learning to analyze data, surface suspected medical conditions and close care gaps.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Ability to serve all practice, provider and patient types across a variety of reimbursement models: </w:t>
      </w:r>
      <w:r>
        <w:rPr>
          <w:rFonts w:ascii="Times New Roman" w:cs="Times New Roman" w:eastAsia="Times New Roman" w:hAnsi="Times New Roman"/>
          <w:sz w:val="18"/>
          <w:szCs w:val="18"/>
          <w:color w:val="auto"/>
        </w:rPr>
        <w:t>The flexibility of our model gives us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operations for a variety of provider types, including primary care, specialists and health system employed and Privia Providers. This positions us to grow into a large market opportunity, consisting of commercial, Medicaid, MSSP and Medicare Advantage as well as direct contracting with private and government payers and employers. Our ability to improve outcomes for practices across various medical specialties ultimately accrues to the benefit of a larger set of patients than if we were focused on one area of care.</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Privia’s capital-efficient operations are portable and replicable across geographic markets</w:t>
      </w:r>
      <w:r>
        <w:rPr>
          <w:rFonts w:ascii="Times New Roman" w:cs="Times New Roman" w:eastAsia="Times New Roman" w:hAnsi="Times New Roman"/>
          <w:sz w:val="18"/>
          <w:szCs w:val="18"/>
          <w:color w:val="auto"/>
        </w:rPr>
        <w:t>: We generally enter a market with an asset-light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and employ a disciplined, uniform approach to market structure and development. We affiliate with market leading provider groups and health systems to form anchor relationships consisting of a single-TIN Medical Group to which we align other independent, affiliated, or employed providers. In contrast to many of our competitors, our model does not rely on buying physician practices or building de-novo medical clinics that require significant capital expenditures nor does it subject us to the costly need to satisfy insurance-based capital requirements. The data we have collected from earlier provider cohorts demonstrate that we consistently improve practice performance in both FFS and VBC metrics over time and inform our expectations for our new markets. As a result, markets see a favorable timeline to profitability and free cash flow contribution. Moreover, our business model gives us flexibility to achieve incremental growth through acquiring minority or majority stakes in our practices and opening de-novo, fully-owned sites of care focused on Medicare Advantage and direct contracting models.</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Long term, sticky relationships underpin our predictable and profitable operating model</w:t>
      </w:r>
      <w:r>
        <w:rPr>
          <w:rFonts w:ascii="Times New Roman" w:cs="Times New Roman" w:eastAsia="Times New Roman" w:hAnsi="Times New Roman"/>
          <w:sz w:val="18"/>
          <w:szCs w:val="18"/>
          <w:color w:val="auto"/>
        </w:rPr>
        <w:t>: Privia Providers have high average satisfaction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overall performance on our platform. We have 96% average provider retention over the past five years. The patients that our providers serve are generally happier as well, as evidenced by a net patient satisfaction score of 85 for 2023. Our pipeline of signed providers who have yet to be implemented, high provider satisfaction and retention, and high patient satisfaction all contribute to more than 90% practice collections predictability on a rolling twelve month forward basis. As a result of these relationships and a high level of patient satisfaction, we are profitable and free cash flow positive, with improving unit economics and margins.</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Highly experienced executive and physician leadership</w:t>
      </w:r>
      <w:r>
        <w:rPr>
          <w:rFonts w:ascii="Times New Roman" w:cs="Times New Roman" w:eastAsia="Times New Roman" w:hAnsi="Times New Roman"/>
          <w:sz w:val="18"/>
          <w:szCs w:val="18"/>
          <w:color w:val="auto"/>
        </w:rPr>
        <w:t>: Our management team has significant experience leading payer, provider and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technology organizations. We believe that our healthcare experience and physician leadership model are competitive advantages in improving care. Our market leadership is highly regarded with a demonstrated track record of success over decades, combining diverse expertise with a shared passion for transforming the healthcare delivery experience. Our highly engaged national physician advisory council has helped us develop physician leaders nationally as well as in the markets we serve. We elevate the clinical voice at all levels of leadership to ensure our solutions benefit providers and their patients.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Privia operates in 13 states and the District of Columbia, not including our planned exit from Delaware, covering 160 target MPSAs (including 54 out of the largest 100 MPSAs). Privia previously notified CMS that its Delaware ACO will terminate its Participation Agreement with CMS effective March 30, 2024 and will no longer participate in MSSP as of the 2024 performance year. We have over 4,300 implemented provider partners in our existing markets. We believe there are approximately 1,000,000 total physicians and providers in the United States. Our existing provider relationships and market share provides us with significant opportunity to grow in both our existing and new geographies. Our growth strategy is centered on capturing whitespace opportunity in existing markets and entering new markets nationally over the next decade and consists of the following elements.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Growth in Existing Practices</w:t>
      </w:r>
    </w:p>
    <w:p>
      <w:pPr>
        <w:spacing w:after="0" w:line="121"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panel and volume growth through enhanced patient experience and value-based clinical model, which increases retention and drives new patient referrals;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provider growth through strategic expansion, succession planning, and use of advanced practice practitioners;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practice services such as more convenient virtual care and in-office ancillaries;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optimization through enhanced payer contracting strategies and strong revenue cycle performance which drives efficiency and higher revenue realization.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Moving Markets to VBC</w:t>
      </w:r>
    </w:p>
    <w:p>
      <w:pPr>
        <w:spacing w:after="0" w:line="121"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same store growth of patients attributed to value-based contracts in each existing geographic market (e.g. we currently have over 224,000 patients aging into Medicare over the next five years);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revenue opportunity on a per patient basis by continuing to improve performance and continuing to take increasing levels of risk in existing value-based programs across commercial, MSSP, Medicare Advantage, Medicaid and other existing and emerging direct payer and employer contracting programs;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products and programs in partnership with aligned payers that are built with and around the Privia network of physicians and providers.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 Space Opportunities in Existing Markets</w:t>
      </w:r>
    </w:p>
    <w:p>
      <w:pPr>
        <w:spacing w:after="0" w:line="121"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add primary care and specialist practices in existing markets to enhance growth. Our data-driven approach allows us to efficiently identify primary care and specialist provider groups that would benefit from our platform;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Privia Women’s Health and Privia Pediatrics platforms;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self-insured employers, businesses, schools, universities, and third-party administrators seeking population health and virtual care solutions. This includes leveraging our 24/7 Virtual Clinic, our care coordination and high-risk chronic care management programs, and our technology-enabled platform to deliver highly tailored, scalable solutions;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direct contracting opportunities, including direct primary care and onsite / near-site clinics fully integrated with our local Privia networks;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clinical research program by designing and executing on clinical trials across multiple therapeutic areas. Privia currently participates in clinical trials of heart failure, COPD, diabetes, and COVID vaccine and treatment trials.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 Development</w:t>
      </w:r>
    </w:p>
    <w:p>
      <w:pPr>
        <w:spacing w:after="0" w:line="121"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Privia’s in-market operating structure and ability to serve providers wherever they are on their transition to VBC is designed to benefit each of the approximately one million U.S.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solution is applicable across all 50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data-driven market selection process identifies attractive expansion opportunities and informs our approach to opening new geographies;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prioritize markets with some or all of the following characteristics: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provider density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patient density</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Demographic tailwinds, such as an aging population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potential medical group partners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Presence of value-oriented health systems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Payers seeking and aligned to high value scaled physician organizations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the broader market landscape for attractive opportunities on a continuous basis and proactively develop relationships before committing to enter a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active and ongoing new market reviews and evaluations, when we enter a new market, we are able to move quickly and efficiently to capture and maximize the opportunity; and</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longstanding track record of successful, profitable expansion that we will leverage to execute on our robust pipeline of new market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Investments in Full Service Care Models</w:t>
      </w:r>
    </w:p>
    <w:p>
      <w:pPr>
        <w:spacing w:after="0" w:line="121"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playbook also factors in the opportunity to acquire minority or majority ownership of provider groups or clinically integrated networks in existing and new markets and we may also open de-novo, wholly or partially owned, sites of care in existing and new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Business Development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aspire to continue growing our national platform by expanding geographically into new markets and increasing density within our existing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development, sales and marketing initiatives focus on the following avenues to drive growth:</w:t>
      </w:r>
    </w:p>
    <w:p>
      <w:pPr>
        <w:spacing w:after="0" w:line="95" w:lineRule="exact"/>
        <w:rPr>
          <w:sz w:val="20"/>
          <w:szCs w:val="20"/>
          <w:color w:val="auto"/>
        </w:rPr>
      </w:pPr>
    </w:p>
    <w:p>
      <w:pPr>
        <w:jc w:val="both"/>
        <w:ind w:left="660" w:hanging="328"/>
        <w:spacing w:after="0" w:line="26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Anchor health systems and medical groups</w:t>
      </w:r>
      <w:r>
        <w:rPr>
          <w:rFonts w:ascii="Times New Roman" w:cs="Times New Roman" w:eastAsia="Times New Roman" w:hAnsi="Times New Roman"/>
          <w:sz w:val="18"/>
          <w:szCs w:val="18"/>
          <w:color w:val="auto"/>
        </w:rPr>
        <w:t>—We establish customized anchor partnerships with leading medical groups and health systems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markets developed from long-term relationships led by our business development team. We use a data driven approach to qualify, segment, and evaluate new market opportunities. We collaborate with leading medical groups and health systems looking to capitalize on the opportunity to create next generation physician led medical groups and transition their local markets to VBC.</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Existing market provider growth</w:t>
      </w:r>
      <w:r>
        <w:rPr>
          <w:rFonts w:ascii="Times New Roman" w:cs="Times New Roman" w:eastAsia="Times New Roman" w:hAnsi="Times New Roman"/>
          <w:sz w:val="18"/>
          <w:szCs w:val="18"/>
          <w:color w:val="auto"/>
        </w:rPr>
        <w:t>—Our in-market and national sales and marketing teams work together to add new medical groups, physician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and individual providers in existing markets. We accelerate our go-to-market strategy using on the ground market intelligence and a data driven approach. Our enterprise sales force is comprised of an in-house group of sales professionals organized by market. Our sales operations team supports our sales force with lead generation, while our growth analytics team conducts financial and operational analysis on our value proposition for prospective partners. Our provider recruitment team assists our existing practices in hiring new providers, from sourcing through onboarding.</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Consumer sales and marketing</w:t>
      </w:r>
      <w:r>
        <w:rPr>
          <w:rFonts w:ascii="Times New Roman" w:cs="Times New Roman" w:eastAsia="Times New Roman" w:hAnsi="Times New Roman"/>
          <w:sz w:val="18"/>
          <w:szCs w:val="18"/>
          <w:color w:val="auto"/>
        </w:rPr>
        <w:t>—As our medical groups grow in each market, we look to transition the market to value-based programs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increasing the patient panels of our providers and adding attributed risk lives across various value-based programs. Our marketing and communications team operates our brand management, enterprise web presence and care center websites, and creates other forms of patient communication and engagement materials. Our branding and marketing strategy to drive growth to our practices have continued to result in increased engagement with new and existing patients and expanded enterprise web presence.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marketing strategy focuses on increasing the overall brand awareness of Privia Health and of our Medical Group brands in each of our markets. We run targeted advertisements through print, direct mail, Google search, and social media for provider and patient acquisition. We also develop thought leadership content such as whitepapers, e-brochures, and blog posts and use public relations to secure earned media placements. Additionally, we participate in industry conferences, and collaborate with media outlets, industry associations, event venues, and local businesses to increase brand awareness. In each of our markets, local independent doctors unite together to form the larger Privia Medical Group. The local practice locations maintain their legacy brand, but also adopt the overarching Privia Medical Group brand.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acquiring and rolling up specialty physician practices. In addition, 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dedicated, direct primary care locations which often target a commercial or employer-based patient population; the ability to organize providers into accountable care organizations, allowing physicians to participate in VBC arrangements; and the ability to partner with physicians groups to enable better care delivery primarily for seniors.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size of the healthcare industry, we expect additional competition, including potentially from new companies, smaller emerging companies which could introduce new solutions and services, as well as other incumbent players in the healthcare industry or from broader industry who could develop their own offerings and may have substantial resources and relationships to leverage. With the emergence of new technologies and market entrants, we expect to face increasing competition over time, which we believe will generally increase awareness of the need for modernized care models and other innovative solutions.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intellectual property rights are important to our business. We rely on a combination of trademarks, service marks, copyrights and trade secrets to protect our proprietary technology and other intellectual property. As of December 31, 2023, we exclusively own six (6) registered trademarks in the United States, including Privia Health. In addition, we have registered domain names for websites that we use or may use in our business.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seek to control access to and distribution of our proprietary information, including our algorithms, source and object code, designs, and business processes, through security measures and contractual restrictions. We seek to limit access to our confidential and proprietary information to a “need to know” basis and enter into confidentiality and nondisclosure agreements with our employees, consultants, customers and vendors that may receive or otherwise have access to any confidential or proprietary information. We also obtain written invention assignment agreements from our employees, consultants, and vendors that assign to us all right, interest, and title to inventions and work product developed during their employment or service engagement with us. In the normal course of business, we provide our intellectual property to external parties through licensing or restricted use agreements. We have established a system of security measures to help protect our computer systems from security breaches and computer viruses. We have employed various technology and process-based methods, such as clustered and multi-layer firewalls, intrusion detection systems, vulnerability assessments, threat intelligence, content filtering, endpoint security (including anti-malware and detection response capabilities), email security mechanisms, and access control mechanisms. We also use encryption techniques for data at rest and in transit. For additional information on risks associated with our intellectual property and information technology systems, see “Risk Factors—Risks Related to Intellectual Property” and “Risk Factors —Risks Related to Our Business and Our Industry.”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those of our Owned Medical Groups, Non-Owned Medical Groups, and Privia Providers are subject to extensive federal, state and local governmental laws and regulations. These laws and regulations require us to meet various standards relating to, among other things, claim submission, coding and reports to government payment programs, dispensing of pharmaceuticals, the provision, structure and compensation of physicians for ancillary services, such as laboratory, radiology and imaging services, physical therapy, and similar services, the management of physician services, personnel qualifications, creation, ownership and maintenance of health and business records, reporting and evaluating the quality of health care services, the assumption of insurance risk, the provision of covered services, allowable forms of payments to non-physicians and acceptable legal structures for the provision of healthcare services. If any of our operations or those of our Owned Medical Groups, Non-Owned Medical Groups, or Privia Providers are found to violate applicable laws or regulations, that could have a material adverse effect on our business, results of operations, financial condition, cash flows, reputation and stock price, including:</w:t>
      </w:r>
    </w:p>
    <w:p>
      <w:pPr>
        <w:spacing w:after="0" w:line="8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our participation in federal health care programs and/or commercial payment programs;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overpayments and other amounts received in violation of law or applicable payment program requirements dating back to the applicable statute of limitation periods;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Privia Providers’ licenses required to furnish healthcare services, prescribe or administer pharmaceuticals, or furnish ancillary services in the states in which we operate;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federal Anti-Kickback Statute, Civil Monetary Penalties Law of the Social Security Act, Stark Law, the Health Insurance Portability and Accountability Act (“HIPAA”), the civil False Claims Act (“FCA”) and/or state analogs to these federal enforcement authorities, or other regulatory requirements;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by patients who believe their health information has been used, disclosed or not properly safeguarded in violation of federal or state patient privacy laws, including the regulations implementing HIPAA and similar state privacy and security laws;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significantly increase operating expenses, decrease our revenue, or make our model less attractive to our Privia Providers;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that could subject us to ongoing audits and reporting requirements as well as increased scrutiny of our billing and business practices which could lead to potential fines, increased operational expenses and reduce our overall growth;</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contracts with payers, real estate leases and our various agreements with Owned Medical Groups, Non-Owned Medical Groups, Privia Physicians and their Affiliated Practices;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reinterpretation of rules and laws by a regulatory agency or court, such as state corporate practice of medicine and fee-splitting laws, that could affect the structure and management of our business and our Medical Groups;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adjustments to government payment models including, physician compensation under Medicare Part B, shared savings under MSSP, payment opportunities under Medicare Advantage programs, Medicaid and other state and federal payment program;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which could negatively impact our business relationships, the terms of payer contracts, our ability to attract and retain patients and Privia Providers, our ability to obtain financing and our access to new business opportunities, among other things.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industry will continue to be subject to substantial regulation, the scope and effect of which are difficult to predict. Our activities could be subject to investigations, audits and inquiries by various government and regulatory agencies and commercial payers with whom we contract at any time in the future. Adverse findings from such investigations and audits could bring severe consequences that could have a material adverse effect on our business, results of operations, financial condition, cash flows, reputation and stock price. In addition, commercial payers could require pre-payment audits of claims, which can negatively affect cash flow, or terminate contracts for repeated deficiencies.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Depending on the nature of risk borne by our Medical Groups, state insurance regulators may require us to register as an insurance company. We have not registered as such in any of the states in which we operate and do not believe such is currently necessary. This is an evolving area of the law and could change rapidly. Additionally, as our Owned and Non-Owned Medical Groups assume more risk from employers and payers, our operations could cause us to become subject to such insurance regulation. Such an outcome could significantly increase our regulatory burden in affected states while increasing our operational costs. Likewise, state corporate practice of medicine prohibitions could require risk bearing contracts to be held exclusively by the Non-Owned Medical Groups, which we do not own, or could require that such contracts be held exclusively in certain state-recognized legal constructs such as Texas’ non-profit health organization, which, would limit our ability to own or control such contracts while increasing our operational costs to manage such contracts.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and Fee-Splitting Laws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generate material revenue in a number of different geographic markets with different legal requirements on how we operate our business. Our approach to each market is tailored to address that state’s healthcare laws, especially state corporate practice of medicine and fee splitting prohibitions. The laws and regulations relating to our operations vary from state to state and many states prohibit general business corporations, such as us, from practicing medicine, controlling physicians’ medical decisions or engaging in certain practices or relationships with physicians such as splitting professional fees with physicians. In states where impermissible, we do not own the Non-Owned Medical Groups and instead furnish certain management services to them and, where allowed, may have a physician or non-physician appointee on the governing board of the Non-Owned Medical Group. In states where permissible, we own a majority interest in the Owned Medical Group, but, even in such markets, we contractually ensure that all clinical decisions are restricted to licensed physicians, including patient decision making, supervision, diagnosis, etc. To our Owned Medical Groups and the Non-Owned Medical Groups, we provide a comprehensive suite of administrative services in exchange for the payment of a management fee by such Medical Groups. Similar to state fraud and abuse laws, state corporate practice and fee splitting prohibitions range from limited regulatory guidance, judicial opinions and enforcement activity (e.g., Tennessee) to very well-developed and broad prohibitions (e.g., Texas). In all such cases, these prohibitions are subject to new and more expansive interpretations by the courts and regulatory bodies, which are often difficult to anticipate. Other parties may assert that, despite the way we are structured, we could be engaged in the corporate practice of medicine or unlawful fee-splitting. Were such allegations to be asserted successfully before the appropriate judicial or administrative forums, we could be subject to adverse judicial or administrative penalties, certain contracts could be determined to be unenforceable, including accompanying restrictive covenants, and we may be required to restructure our contractual arrangements. Likewise, such laws limit future opportunities in certain markets by limiting our potential strategies for entering such markets.</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single Owned Medical Group that furnishes healthcare services through our Privia Providers in the Commonwealth of Virginia, the State of Maryland, and the District of Columbia, and we operate two Owned Medical Groups in the State of Georgia, one for adult healthcare services and one for pediatric healthcare services. All of our Owned Medical Groups are structured as limited liability companies, and in all of these Owned Medical Groups, a Privia-owned entity owns, at all times, at least 51% of the membership interest in the Owned Medical Group. The remaining 49% of the membership interest in each of the Owned Medical Group is owned by Privia Physicians licensed in the applicable state in which their Affiliated Practice location is located.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District of Columbia has no direct prohibition on the corporate practice of medicine. While Maryland does not have a statutory ban on the corporate practice of medicine, the prohibition has been recognized by implication from its Medical Practice Act which, among other things, requires that no person practice medicine without a valid license. Since corporations are incapable of obtaining a medical license, corporations are incapable of practicing medicine in Maryland. However, Maryland does not apply its corporate practice of medicine prohibition to certain legal entities, including limited liability companies, which is how all of our Owned Medical Groups are structured. Likewise, Virginia and Georgia allow a limited liability company to furnish healthcare services though employed physicians, physician owners and independent contracted physicians.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Nonetheless, to protect the underlying interests of the corporate practice of medicine prohibition, we further ensure that Privia Physicians are solely and exclusively in control of all aspects of the practice of medicine and the provision of professional physician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services through the Owned Medical Groups, including, without limitation, decisions regarding professional medical judgment, diagnosis and treatment of patients, supervisory responsibility for all Privia Clinicians, supervision of all unlicensed individuals to whom the Privia Physician delegates non-discretionary duties and any other individual, whether employed by the Medical Group or an independent contractor of the Medical Group, regardless of licensure status, providing any service to a patient of a Privia Physician. This safeguard is built into each Owned Medical Group’s operating agreement as well as the Privia Physician’s Physician Member Services Agreement with the Owned Medical Group.</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states that actively enforce, broadly define or do not recognize an applicable exception to the corporate practice of medicine prohibition, such as Texas and Tennessee, our relationship may be either: (a) a contractual relationship with our Non-Owned Medical Groups, whereby our most significant rights are generally set forth in our MSAs, or (b) a relationship whereby our Friendly Medical Groups are majority owned, directly or indirectly, by a Nominee Physician in compliance with corporate practice of medicine prohibitions. Our Medical Groups in Tennessee and West Texas are Friendly Medical Groups, with each being majority owned by Nominee PC owned by a Nominee Physician. If a jurisdiction’s prohibition on the corporate practice of medicine is interpreted in a manner that is inconsistent with our practices, we would be required to restructure or terminate our arrangements with our Friendly Medical Groups and could result in additional penalties, damages and fines.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provide administrative services through our local MSOs for our Medical Groups. Although the structure of administrative fees can implicate limitations under state corporate practice of medicine prohibitions, our administrative services specifically reserve services that would constitute the practice of medicine with the Medical Group. The structure of administrative fees can also implicate state fee splitting prohibitions. Fee splitting prohibitions generally prohibit licensed physicians from sharing fees for healthcare services with lay persons. The scope of these laws generally range from a narrow reading limiting violations to the payment for referring work to a physician to broad prohibitions that limit percentage management fees or other variable fee arrangements. Tennessee, for instance, once strictly prohibited all percentage management fees; however, the statute was amended to allow percentage administrative fees so long as such fees are reasonably related to the services or goods furnished to the physician. Maryland’s law is essentially identical to Tennessee’s law. While Florida prohibits percentage administrative fees for certain services furnished by a management company to a physician, we have worked with our partner and outside counsel to develop a compliant percentage fee arrangement for certain services in Florida. Similarly, although North Carolina does not prohibit percentage based management fees in physician arrangements specifically by statute, the North Carolina Medical Board has taken the position that a physician cannot share revenue on a percentage basis with a non-physician. Accordingly, we have adopted a fixed administrative fee schedule based upon the Privia Physicians’ collections for health care services. Although Texas has a fee splitting prohibition, percentage fees for companies that charge management fees are not expressly forbidden. Similarly, California courts have found that management fees based on a percentage of revenue do not violate the state’s various fee splitting prohibitions so long as the services are commensurate with the value of management services furnished to the physicians. Although Georgia and the District of Columbia each has a fee splitting prohibition, each is limited to a physician paying for the referral of patients or other business. Georgia courts have consistently taken the position that the fee splitting prohibition is not violated when a physician pays collections over to a for-profit corporation or business for the provision of goods or services. Virginia’s fee splitting law is similar in scope to Georgia’s but is further limited to payments between licensed physicians.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Violations of the corporate practice of medicine prohibition vary by state and may result in Privia Physicians being subject to disciplinary action, as well as to forfeiture of revenues from payers for services rendered. For lay entities such as us, violations may also bring both civil and, in more extreme cases, criminal liability for engaging in the practice of medicine without a license. Any allegations or findings that we have violated these laws could have a material adverse impact on our business, results of operations and financial condition, including adversely impacting our relationship with Privia Physicians and our ability to recruit new physicians into affected Owned or Non-Owned Medical Groups (including Friendly Medical Groups).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Anti-Kickback Statute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health care program, including the Medicare and Medicaid programs.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criminal penalties for the violation of the federal Anti-Kickback Statute include imprisonment, fines and exclusion from future participation in the federal health care programs, including Medicare and Medicaid. Violations of the federal Anti-Kickback Statute are punishable by imprisonment for up to ten years and/or significant per kickback.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 care programs for a minimum of five years. In addition, entities may be subject to additional civil penalties per violation, repayments of up to three times the total payments between the parties to the arrangement and suspension from future participation in Medicare and Medicaid.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Court decisions have held that the statute may be violated even if only one purpose of remuneration is to induce referrals. That is, even if a business arrangement is for a legitimate purpose, it can still be found to violate the Anti-Kickback Statute if a secondary purpose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induce referrals. In addition, a person or entity does not need to have actual knowledge of the federal Anti-Kickback Statute or have the specific intent to violate it in order to have committed a violation. The Anti-Kickback Statute only requires that the government establish the requisite criminal intent. In addition, the ACA amended the federal Anti-Kickback Statute to provide that any claims for items or services resulting from a violation of the federal Anti-Kickback Statute are considered false or fraudulent for purposes of the FCA.</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Anti-Kickback Statute includes statutory exceptions and regulatory safe harbors that protect certain arrangements.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 In addition, prosecutors have started using other general fraud laws to address situations that would have violated the Anti-Kickback Statute but were structured to carve out federal health care programs to avoid the scope of such statutory schemes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 into several arrangements, some of which do not satisfy all elements of a relevant safe harbor and accordingly could be subject to scrutiny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OIG:</w:t>
      </w:r>
    </w:p>
    <w:p>
      <w:pPr>
        <w:spacing w:after="0" w:line="135" w:lineRule="exact"/>
        <w:rPr>
          <w:sz w:val="20"/>
          <w:szCs w:val="20"/>
          <w:color w:val="auto"/>
        </w:rPr>
      </w:pPr>
    </w:p>
    <w:p>
      <w:pPr>
        <w:ind w:left="660" w:hanging="328"/>
        <w:spacing w:after="0" w:line="237"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Joint ventures</w:t>
      </w:r>
      <w:r>
        <w:rPr>
          <w:rFonts w:ascii="Times New Roman" w:cs="Times New Roman" w:eastAsia="Times New Roman" w:hAnsi="Times New Roman"/>
          <w:sz w:val="18"/>
          <w:szCs w:val="18"/>
          <w:color w:val="auto"/>
        </w:rPr>
        <w:t>. We wholly own all of our subsidiaries except for our Owned Medical Groups, six of our MSOs, and one ACO where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ownership.</w:t>
      </w:r>
    </w:p>
    <w:p>
      <w:pPr>
        <w:spacing w:after="0" w:line="126"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Privia Physician Agreements</w:t>
      </w:r>
      <w:r>
        <w:rPr>
          <w:rFonts w:ascii="Times New Roman" w:cs="Times New Roman" w:eastAsia="Times New Roman" w:hAnsi="Times New Roman"/>
          <w:sz w:val="18"/>
          <w:szCs w:val="18"/>
          <w:color w:val="auto"/>
        </w:rPr>
        <w:t>. We enter into a number of different types of agreements with Privia Physicians, including physician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agreements, physician leadership agreements, physician consultation arrangements, physician services agreements, and recruitment of physicians into our Owned and Non-Owned Medical Groups.</w:t>
      </w:r>
    </w:p>
    <w:p>
      <w:pPr>
        <w:spacing w:after="0" w:line="126"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Management Services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enter into MSAs with each of our Owned and Non-Owned Medical Groups and our ACOs. Most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MSAs are structured as a percentage of collections generated by our Privia Providers, or, if with an ACO, as a percentage of realized savings. Further, in certain of our markets, the management services organization is owned, in part, by Privia Physicians or health system partners, which could result in increased scrutiny from the OIG in the event that safeguards built into such arrangements are found insufficient to protect against inappropriate utilization.</w:t>
      </w:r>
    </w:p>
    <w:p>
      <w:pPr>
        <w:spacing w:after="0" w:line="12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Service Agreements with Privia Physician’s Affiliated Practices</w:t>
      </w:r>
      <w:r>
        <w:rPr>
          <w:rFonts w:ascii="Times New Roman" w:cs="Times New Roman" w:eastAsia="Times New Roman" w:hAnsi="Times New Roman"/>
          <w:sz w:val="18"/>
          <w:szCs w:val="18"/>
          <w:color w:val="auto"/>
        </w:rPr>
        <w:t>. Our Owned and Non-Owned Medical Groups procure certain services,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space, equipment and non-physician personnel from our Privia Physicians’ Affiliated Practices.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Rebates</w:t>
      </w:r>
      <w:r>
        <w:rPr>
          <w:rFonts w:ascii="Times New Roman" w:cs="Times New Roman" w:eastAsia="Times New Roman" w:hAnsi="Times New Roman"/>
          <w:sz w:val="18"/>
          <w:szCs w:val="18"/>
          <w:color w:val="auto"/>
        </w:rPr>
        <w:t>. Certain of our MSAs include the payment of rebates from management fees previously paid in the event that certain conditions occur.</w:t>
      </w:r>
    </w:p>
    <w:p>
      <w:pPr>
        <w:spacing w:after="0" w:line="126" w:lineRule="exact"/>
        <w:rPr>
          <w:rFonts w:ascii="Arial" w:cs="Arial" w:eastAsia="Arial" w:hAnsi="Arial"/>
          <w:sz w:val="22"/>
          <w:szCs w:val="22"/>
          <w:color w:val="auto"/>
        </w:rPr>
      </w:pPr>
    </w:p>
    <w:p>
      <w:pPr>
        <w:ind w:left="660" w:right="40" w:hanging="328"/>
        <w:spacing w:after="0" w:line="245"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Sales forces and patient recruitment</w:t>
      </w:r>
      <w:r>
        <w:rPr>
          <w:rFonts w:ascii="Times New Roman" w:cs="Times New Roman" w:eastAsia="Times New Roman" w:hAnsi="Times New Roman"/>
          <w:sz w:val="18"/>
          <w:szCs w:val="18"/>
          <w:color w:val="auto"/>
        </w:rPr>
        <w:t>. The OIG has expressed concern regarding the use of non-employed sales forces to recruit or facilitate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recruiting of patients or referrals, especially when the sales agent is compensated in a manner that provides rewards or incentives on a volume or value basis. Accordingly, commissions or per-patient based compensation methodologies are closely scrutinized by federal agencies. We employ our own sales force and attempt to meet the Anti-Kickback Safe Harbor for Bona Fide Employment; however, in limited instances we use external companies to assist with certain aspects of these efforts.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 care programs. Any findings that we have violated these laws could have a material adverse impact on our business, results of operations, financial condition, cash flows, reputation and stock price.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2020, CMS and the OIG issued final regulations creating a number of safe harbors for care coordination activities and value-based arrangements. These new safe harbors allow, among other things, certain outcomes based payments, care coordination arrangements, the provision of telehealth technologies and arrangements for patient engagement to be structured in such a matter as to avoid scrutiny under the Anti-Kickback Statute. Although the health care industry is still trying to determine what business models will benefit from such arrangements, we expect that such safe harbors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with less integrated and operationally cheaper business models.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pace of the CMS’ modernization of health care regulations has slowed under the Biden administration, every annual payment update from CMS includes substantive changes in regulations that potentially impact our business, operations and financial condition, such regulatory changes, changes in law or judicial decisions changing interpretations of existing laws or regulations may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cause OIG, CMS or other regulators to change the parameters of rules and regulations that we must follow and thus impact our business,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Stark Law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Stark Law prohibits a physician (as defined by statute) who has a financial relationship, or who has an immediate family member who has a financial relationship, with entities providing certain Designated Health Services, or DHS, from referring Medicare patients to such entities for the furnishing of DHS, unless an exception applies. Although uncertainty exists, federal agencies and at least one court have taken the position that the Stark Law also applies to Medicaid. DHS is defined to include clinical laboratory services, physical therapy services, occupational therapy services, radiology services including magnetic resonance imaging, computerized axial tomography scans, and ultrasound services, radiation therapy services and supplies, durable medical equipment and supplies, parenteral and enteral nutrients, equipment, and supplies, prosthetics, orthotics and prosthetic devices and supplies, home health services, outpatient prescription drugs, inpatient and outpatient hospital services and outpatient speech-language pathology services. The types of financial arrangements between a physician and an entity providing DHS that trigger the self-referral prohibitions of the Stark Law are broad and include direct and indirect ownership and investment interests and compensation arrangements. The Stark Law prohibits any entity providing DHS that has</w:t>
      </w:r>
    </w:p>
    <w:p>
      <w:pPr>
        <w:spacing w:after="0" w:line="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received a prohibited referral from presenting, or causing to be presented, a claim or billing for the services arising out of the prohibited referral. Similarly, the Stark Law prohibits an entity from “furnishing” a DHS to another entity in which it has a financial relationship when that entity bills for the service. The Stark Law also prohibits self-referrals within an organization by its own physicians, although broad exceptions exist that cover employed physicians and those referring DHS pursuant to the in-office ancillary services exception so long as certain standards are satisfied. The prohibition applies regardless of the reasons for the financial relationship and the referral. Unlike the federal Anti-Kickback Statute, the Stark Law is a strict liability violation where unlawful intent need not be demonstrated.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Stark Law is implicated, the financial relationship must fully satisfy a Stark Law exception. If an exception is not satisfied, then the parties to the arrangement have violated the Stark Law. Sanctions for violation of the Stark Law include denial of payment for claims for services provided in violation of the prohibition, refunds of amounts collected in violation of the prohibition, a civil penalty for each service arising out of the prohibited referral, a civil penalty against parties that enter into a scheme to circumvent the Stark Law prohibition, civil assessment of up to three times the amount claimed and potential exclusion from the federal health 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FCA liability, as further discussed herein.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CMS or other regulatory or enforcement authorities determine that claims have been submitted for referrals by our Privia Physicians that violate the Stark Law, we would be subject to the penalties described above. In addition, it might be necessary to restructure existing compensation agreements with our physicians and/or Owned or Non-Owned Medical Groups. Any such penalties and restructuring or other required actions could have a material adverse effect on our business, results of operations, financial condition and cash flows.</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November 2020, CMS issued a sweeping set of regulations that introduce significant new value-based terminology, safe harbors and exceptions to the Stark Law. Additionally, CMS made some changes to certain existing exceptions to the Stark Law, including the definition of group practice, effective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January 1, 2022 but which required us to restructure how we account for DHS in compensating physicians in certain markets where we offer centralized DHS. Although the health care industry is still trying to determine what business models will benefit from the changes to the Stark Law, we expect that the new exceptions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by offering less integrated and operationally cheaper business models. Those or other changes implemented by CMS may impact our business, results of operations and financial condition.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Owned or Non-Owned Medical Groups have entered into several types of financial relationships with Privia Physicians, either directly or indirectly, including MSAs, physician member services agreements, physician consulting agreements, physician services agreements, physician leadership agreements and support services agreements. In structuring such arrangements, we generally rely upon the personal services exception or the in-office ancillary services exception. If our Owned or Non-Owned Medical Groups were to bill for DHS referred by our Privia Physicians and the underlying relationship between the Owned or Non-Owned Medical Groups and the referring physician was found to not satisfy an exception to the Stark Law, our Owned or Non-Owned Medical Groups could be required to restructure their relationships with Privia Physicians, face civil penalties, pay substantial fines, return as overpayments any reimbursement from Medicare received for such DHS or otherwise experience a material adverse effect, including loss of reputation, inability to recruit additional practices, loss of revenue, and increased costs of operations. This prohibition also limits how we may pursue physician opportunities in the future. For example, were we to pursue a physician practice acquisition strategy, the Stark Law would limit both how we structure such acquisitions and our range of purchase prices for such acquisitions.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under State Law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states have also passed anti-kickback statutes and physician self-referral prohibitions similar to the Federal Anti-Kickback Statute and the Stark Law. However, in many of the states we operate, these state self-referral prohibitions are often drafted broadly to cover all payers (i.e., not restricted to Medicare and other federal health care programs) or certain programs within the state such as the state Medicaid program or state workers’ compensation program. Generally, however, the exceptions or exemptions under state fraud and abuse laws, are less robust and developed than their federal counter parts. Nonetheless, if such laws are found to apply to our relationships with our Medical Groups, or our Medical Groups’ relationships with Privia Physicians, including Privia Physicians who may hold our publicly traded stock, and for which no applicable exception exists, we may be required to terminate or restructure our relationships with these Privia Physicians and could be subject to criminal, civil and administrative sanctions, refund requirements and exclusions from government health care programs, including Medicare and Medicaid, which could have a material adverse effect on our business, results of operations, financial condition, cash flows, reputation and stock price.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Maryland, for example, has adopted the Maryland Patient Referral Law, which puts a number of additional restrictions on group practices trying to furnish “designated services” in the State of Maryland regardless of the payer for such “designated services.” Notably, Maryland has adopted an equivalent exception to the Stark Law’s in-office ancillary services exception, which, among other things requires that the Owned Medical Group employ the person furnishing the services and such must be performed in a location of the Owned Medical Group. Tennessee’s self-referral law derives from the early American Medical Association actions relative to self-referrals rather than the Stark Law; however, generally, Tennessee’s law does not prohibit referrals from a physician to an entity at which the physician performs services or an entity that meets a demonstrated need in the community. In Texas, the Texas Patient Solicitation Act, while similarly worded to the Federal Anti-Kickback Statute, applies to all payers, not just federal or state health care programs. However, the establishment of the medical necessity of the referral and the patient’s consent to treatment generally is sufficient to avoid prosecution under the Texas statute. Florida has the Patient Anti-Brokering Act, which is essentially a state anti-kickback statute and a state self-referral prohibition. Finally, California’s anti-kickback statute is not limited to federal healthcare program business, or even to referrals of patients or healthcare business; however,</w:t>
      </w:r>
    </w:p>
    <w:p>
      <w:pPr>
        <w:spacing w:after="0" w:line="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California law provides a broad exception to the extent that such remuneration is commensurate with the value of services received. In each of our geographic markets, we rely upon experienced health care attorneys licensed in the state to assist us in complying with state law.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Similarly, states have beneficiary inducement prohibitions and consumer protection laws that may be triggered by the offering of inducements, incentives and other forms of remuneration to patients and prospective patients. States also may limit the types of marketing activities that we, our Medical Groups and our Privia Physicians may take targeted towards patients. Violations of such laws range from civil to criminal and could have a material adverse effect on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False Claims Act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FCA is a means of policing false bills or false requests for payment in the healthcare delivery system. Among other things, the FCA authorizes the imposition of up to three times the government’s damages and significant per claim civil penalties on any “person” (including an individual, organization or company) who, among other acts:</w:t>
      </w:r>
    </w:p>
    <w:p>
      <w:pPr>
        <w:spacing w:after="0" w:line="9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knowingly presents or causes to be presented to the federal government a false or fraudulent claim for payment or approval;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knowingly makes, uses or causes to be made or used a false record or statement material to a false or fraudulent claim;</w:t>
      </w:r>
    </w:p>
    <w:p>
      <w:pPr>
        <w:spacing w:after="0" w:line="143"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knowingly makes, uses or causes to be made or used a false record or statement material to an obligation to pay the government, or knowingly conceals or knowingly and improperly avoids or decreases an obligation to pay or transmit money or property to the federal government; or</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conspires to commit the above acts.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amendments to the FCA and Social Security Act impose severe penalties for the knowing and improper retention of overpayments collected from federal health care programs. Under these provisions, within 60 days of identifying and quantifying an overpayment, a provider is required to notify CMS or the Medicare Administrative Contractor of the overpayment and the reason for it and return the overpayment. An overpayment impermissibly retained could subject us to liability under the FCA, exclusion from government healthcare programs and penalties under the federal Civil Monetary Penalty statute. As a result of these provisions, our procedures for identifying and processing overpayments may be subject to greater scrutiny.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penalties for a violation of the FCA can be significant and are subject to annual adjustments for inflation, plus up to three times the amount of damages caused by each false claim, which can be as much as the amounts received directly or indirectly from the federal health care program for each such false claim. Further, FCA cases are filed under seal to give the government an opportunity to review, investigate and intervene in the case. FCA cases may remain under seal for extended periods of time while the defendant in the case is unaware of the complaint and any resulting investigation.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government has used the FCA to prosecute a wide variety of alleged false claims and fraud allegedly perpetrated against federal health care programs, including Medicare and Medicaid, including but not limited to coding errors, submission of false Medicare enrollment information,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to Medicare Advantage plans. The ACA provides that claims tainted by a violation of the federal Anti-Kickback Statute are false for purposes of the FCA. Some courts have held that filing claims or failing to refund amounts collected in violation of the Stark Law can form the basis for liability under the FCA. In addition to the provisions of the FCA, which provide for civil enforcement,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business, results of operations, reputation, growth and financial condition.</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FCA, the various states in which we operate have adopted their own analogs of the FCA. States are becoming increasingly active in using their false claims laws to police the same activities listed above, particularly with regard to Medicaid FFS and Managed Medicaid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Statute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94" w:lineRule="exact"/>
        <w:rPr>
          <w:sz w:val="20"/>
          <w:szCs w:val="20"/>
          <w:color w:val="auto"/>
        </w:rPr>
      </w:pPr>
    </w:p>
    <w:p>
      <w:pPr>
        <w:ind w:left="66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presenting, or causing to be presented, claims for payment to Medicare, Medicaid or other third-party payers that the individual or entity knows or should know are for an item or service that was not provided as claimed or is false or fraudulent;</w:t>
      </w:r>
    </w:p>
    <w:p>
      <w:pPr>
        <w:spacing w:after="0" w:line="13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arranging contracts with an entity or individual excluded from participation in the federal health care programs;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violating the federal Anti-Kickback Statute;</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making, using or causing to be made or used a false record or statement material to a false or fraudulent claim for payment for items and services furnished under a federal health care program;</w:t>
      </w:r>
    </w:p>
    <w:p>
      <w:pPr>
        <w:spacing w:after="0" w:line="13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failing to report and return an overpayment owed to the federal government.</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civil monetary penalties may be imposed under the federal Civil Monetary Penalties Law and may vary depending on the underlying violation. In addition, an assessment of not more than three times the total amount claimed for each item or service may also apply and a violator may be subject to exclusion from federal health care programs.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could be exposed to a wide range of allegations to which the federal Civil Monetary Penalties Law would apply. Although we strive to perform monthly exclusion database checks on our employees, Privia Physicians and certain vendors using government databases to confirm that these individuals have not been excluded from federal programs, should an individual become excluded and we fail to detect it, a federal agency could require us to refund amounts attributable to all claims or services performed or sufficiently linked to an excluded individual. Likewise, our patient facing initiatives, which can include additional care coordination to patients not otherwise covered under traditional Medicare, could be alleged to be intended to influence the patient’s choice of provider in obtaining services or the amount or types of services sought. Thus, we cannot foreclose the possibility that we will face allegations subject to the Civil Monetary Penalties Law with the potential for a material adverse impact on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regulations promulgated under the authority of HIPAA require covered entities to provide certain protections to patients and their health information. The HIPAA privacy and security regulations extensively regulate the use and disclosure of PHI and require covered entities, which include health plans, health care clearinghouses, employers that provide self-funded or self-administered health insurance benefits, healthcare providers and their business associates, to implement and maintain administrative, physical and technical safeguards to protect the security of such information. Additional security requirements apply to electronic PHI. These regulations also provide patients with substantive rights with respect to their health information.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HIPAA privacy and security regulations also require covered entities to enter into written agreements with certain contractors, known as business associates, to whom we disclose PHI. Covered entities may be subject to penalties for, among other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 For instance, California and Virginia have adopted comprehensive information security laws that grant residents of those states to considerably more rights and control over their information, including PHI, than granted under HIPAA.</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employer that offers self-insured health benefits, we are a covered entity under HIPAA. Further, in the provision of management services to our Medical Groups, we are a business associate to those practices. Our Medical Groups are all covered entities as well. Further, our Owned and Non-Owned Medical Groups act as an affiliated covered entity under HIPAA, which, among other things allow them to operate a single set of privacy and security standards, a single notice of privacy practices, appoint a single privacy and security officer, and imposes on them joint and several liability relative to any violations of HIPAA.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w:t>
      </w: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disclosure of PHI were increased by the Health Information Technology for Economic and Clinical Health Act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HITECH Act”) by imposing tiered penalties of more than $50,000 per violation and up to $1.5 million per year for identical violations, adjusted annually for inflation.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Numerous other federal and state laws and regulations protect the confidentiality, privacy, availability, integrity and security of health information and other types of personal information. State statutes and regulations vary from state to state and these laws and regulations in many cases are more restrictive than HIPAA and its implementing rules. The scope of these laws can be expansive affecting numerous activities that we may engage in from data capture and storage, use of data for clinical research activities, to how we communicate with our patients. These laws and regulations are often uncertain, contradictory, and subject to changes or differing interpretations, and we expect new laws, rules and regulations regarding privacy, data protection, and information security to be proposed and enacted in the future. In the event that new data security laws are implemented,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such as California and Virginia, also afford private rights of action to individuals whose personal information has been subject to a data breach.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2010, broad healthcare reform legislation was enacted in the United States through the ACA. Although many of the provisions of the ACA did not take effect immediately and continue to be implemented, and some have been and may be modified before or during their implementation, the reforms could continue to have an impact on our business in a number of ways.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We cannot predict how employers, commercial payers or persons buying insurance might react to federal and state healthcare reform legislation, whether already enacted or enacted in the future, nor can we predict what form many of these regulations will take before implementation.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Federal government’s omnibus funding legislation passed at the end of 2022, Congress again reduced Medicare’s scheduled reductions to physician reimbursement, which went from a scheduled 8.5% reimbursement cut to a 2% cut in physician reimbursement in 2023 and at least a 1.25% reimbursement cut in 2024. In addition, Congress extended the 5% bonus payment for Advanced Alternative Payment Models, including Accountable Care Organizations, which was scheduled to expire at the end of 2022, for one year at a bonus rate of 3.5%. These continued cuts to reimbursement especially at a time when physicians are experiencing inflated costs, including labor costs, create a financial challenge to physicians practices. Although such cuts may ultimately provide an opportunity for companies such as ours by increasing the pool of physicians looking to associate with larger partners, in the short term, such reimbursement costs could negatively impact our earnings and reduce the amount of compensation available to our Privia Providers.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may ultimately decrease our Medical Groups’ uninsured patient populations but at the same time, such changes may move patient populations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there may be significant changes to the healthcare environment in the future, the specific changes and their timing are not yet apparent. As a result, there is considerable uncertainty regarding the future with respect to the exchanges and other core aspects of the current health care marketplace. Future elections may create conditions for Congress to adopt new federal coverage programs that may disrupt our current commercial payer revenue streams. While specific changes and their timing are not yet apparent, such changes could lower our reimbursement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Bearing Provider Regulation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states where we currently operate or may choose to operate in the future regulate what types of risk a provider can take and from what types of entities without triggering state insurance laws. For example, state direct primary care laws may allow a provider to assume risk for primary care services but if the provider assumes risks for other services, such as facility services or specialty services, the provider may be subject to state insurance laws. State insurance laws may impose conditions on the operations and financial condition of risk bearing providers such as our Owned and Non-Owned Medical Groups, or ACOs. These regulations can include capital requirements, licensing or certification, governance controls and other similar matters. While these regulations have not had a material impact on our business to date, as we continue to expand and move more physician services to value based, these rules may require additional resources and capitalization and add complexity to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Owned and Non-Owned Medical Groups’ operations are subject to various state hazardous waste and non-hazardous medical waste disposal laws, state law requirements for licensure of ancillary services such as lab services, pharmacy services, and operation of radiological producing equipment, federal Clinical Laboratory Improvement Amendments of 1988, Occupational Safety and Health Administration standards, including the Bloodborne Pathogens Standards, Drug Enforcement Administration standards for administering and prescribing controlled substances and distributing drug samples, reporting financial relationships with drug, biologicals and medical device companies and numerous other federal, state and local laws governing the day-to-day provision of medical services by our Affiliated Provider. These regulatory requirements apply to both our practices and our providers. Any allegations or findings that we or our providers have violated any of these laws or regulations could have a material adverse impact on our business, results of operations and financial condition.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federal and state law in each state we currently operate are increasingly imposing oversight, reporting requirements, and other safeguards on our providers that prescribe opioids and other pain medicine. Texas, for instance, has adopted a number of amendments to existing laws and regulatory changes to limit prescription sizes, frequency, and requiring providers to access the Prescription Drug Monitoring Program before prescribing or dispensing controlled substances. In addition, federal and state investigators have increased enforcement efforts relative to inappropriate opioid prescribing patterns by providers. Although the burden of such compliance is largely on the Affiliated Provider, any failure to comply with such legal and regulatory requirements could adversely impact our business, results of operations, reputation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our strategic anchor partnership arrangement is typically between five to ten years and automatically renews unless either the anchor partner or we decide not to renew. These agreements further have other custom rights, non-solicitation, exclusivity, termination and post termination provisions terms that are unique to each situation. We also build in unwind provisions that typically allow us to continue to operate in a market after termination of our underlying relationship with an anchor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our in-market new provider physician member services agreements and support services agreement is typically three years and automatically renews unless either the practice or we decide not to renew. These agreements could also have other specific provisions and terms that may be unique to each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Relationships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understand that individuals and employer groups are facing unprecedented rising healthcare costs. Our robust medical economics team supports creative narrow network designs that deliver high-quality care at a lower cost. We leverage data and provider input to enable them to grow their patient base and influence how care is delivered. Ultimately, our networks enable providers to connect with new patient populations, create custom contracts that provide greater value, and further integrate with their community. We partner with a large and diverse set of payer groups nationally and in each of our markets to form provider networks, lower cost of care, and construct bespoke contracts to help both providers and payers achieve their objectives in a mutually aligned manner.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Privia Health Group, Inc. (NASDAQ: PRVA) (“we”, “our”, the “Company”) was incorporated in Delaware in 2016 and became the sole shareholder of PH Group Holdings Corp. (“PH Holdings”) effective August 11, 2016. Our Telephone number is (571) 366-8850. Our website is priviahealth.com.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affiliated medical groups.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if applicable, amendments to those reports filed or furnished pursuant to Section 13(a) of the Securities Exchange Act of 1934, as amended, are available free of charge on or through the Privia Health Investor Relations website at ir.priviahealth.com., as soon as reasonably practicable after we electronically file such material with, or furnish it to, the Securities and Exchange Commission, or the SEC. The SEC’s website, http://www.sec.gov, contains reports, proxy and information statements, and other information regarding issuers that file electronically with the SEC.</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announce material information to the public through a variety of means, including filings with the SEC, press releases, public conference calls, and our website. We use these channels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is not part of this Annual Report on Form 10-K, and the inclusion of our website addresses are inactive textual references only.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across Privia Health Group, Inc., we had 1,102 employees in 42 states and the District of Columbia. None of our employees are represented by labor unions or covered by collective bargaining agreements. We consider our relationship with our employees to be good and we have not experienced any work stoppages or reductions in force. We believe our geographically dispersed employees are a competitive advantage. While certain employees work onsite, the majority of our workforce is either remote or a blend of in-office and remote. Our flexible workforce strategy allows us to hire the best possible talent irrespective of geographic constraints across many functional roles. Our internal systems and processes are designed to ensure our remote employees are productive, contribute meaningfully, and are able to exceed expectations in their roles. This has enabled us to successfully continue to operate through the restrictions imposed by the COVID-19 pandemic.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 and Engagement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Privia Health, we value all of our employees and the exceptional talent they bring to our organization, in order to support our physicians, providers, care center staff, and patients. One of our strategic corporate goals is to grow and develop our diverse workforce, and we have established ongoing leadership development and retention programs intended to support employees in their career progression. This includes an Emerging Leaders Program, a Manager Onboarding program, individual coaching, and ad hoc formal and informal training sessions.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Wellness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goal is to comprehensively support our employees, no matter who they are or where they are in life. To further this goal, Privia has introduced nationwide access to virtual mental healthcare as well as coverage for gender affirmation procedures, fertility treatment and pregnancy care management for plan participants. Our Employee Assistance Program (“EAP”) provides support to all employees and their family members who may be experiencing times of crisis. Additionally, we have access to management training on important topics like helping parents return to work or identifying burnout. In addition to these on-demand services, we also offer Mental Health First Aid certification so our managers can recognize and respond to a person experiencing a mental health emergency.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mission is to develop and retain the best and brightest talent from diverse backgrounds. We strive for equitable treatment and in doing so, remove barriers and level the playing field so that each and every employee has the opportunity to be successful in their role. We regularly scrutinize our job descriptions, education and experience requirements, and physical demands to ensure we are not creating any unnecessary barriers for qualified applicants. Annually, the People Operations team reviews and enhances our policies, processes, and benefits to address a variety of opportunities including, but not limited to, universal parental leave, transgender workplace transition guidance and a gender-neutral dress code.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champion and seek to continually improve the representation of all members of the populations we serve within our workforce. We provide all of our employees with the tools, resources, and accommodations they need to be successful, and we have cultivated an inclusive work environment that values this representation and encourages creativity and innovation.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Serving Our Communities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encourage and actively support our employees who want to have a meaningful and positive impact on their communities and charitable causes by giving their time, talents and resources. The Company supported various charitable organizations throughout the year, focused on heart health, food disparities across our geographies, and holiday donations for underserved communities.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 effort to make a greater impact, will be focusing corporate charitable giving on healthcare organizations and those that benefit historically underserved and underrepresented communities nationally. In 2024, we will continue to maximize our impact and give back to the communities in which we serve.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a task force that is activated in advance of weather events or impending natural disasters. The task force coordinates outreach to each employee in the potential impact area and remains in touch throughout the duration and recovery. The task force assesses impact and provides resources to address the most pressing, time-sensitive needs. Should a disaster occur that impacts employees in any of our geographies, the Privia Employee Disaster Relief Fund, originally established in August, 2017, is reopened. Through donations to the relief fund, employees are able to support their colleagues who applied for help.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contained in this report, including our consolidated financial statements and the related notes thereto, before making a decision to invest in our common stock. The risks and uncertainties described below are not the only ones we face. It is not possible to predict or identify all such factors.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In that event, the price of our common stock could decline, and you could lose all or part of your investment.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risks factors that could materially and adversely affect our business, financial condition and results of operations.</w:t>
      </w:r>
    </w:p>
    <w:p>
      <w:pPr>
        <w:spacing w:after="0" w:line="158" w:lineRule="exact"/>
        <w:rPr>
          <w:sz w:val="20"/>
          <w:szCs w:val="20"/>
          <w:color w:val="auto"/>
        </w:rPr>
      </w:pPr>
    </w:p>
    <w:p>
      <w:pPr>
        <w:jc w:val="both"/>
        <w:ind w:left="660" w:hanging="328"/>
        <w:spacing w:after="0" w:line="243" w:lineRule="auto"/>
        <w:tabs>
          <w:tab w:leader="none" w:pos="65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conduct business in a heavily regulated industry, which increases our costs and could restrict the conduct of our business, and if we fail to comply with applicable healthcare laws and government regulations, which may change from time to time, we could incur financial penalties, become excluded from participating in government health care programs, be required to make significant operational changes or experience adverse publicity, which may adversely affect our business;</w:t>
      </w:r>
    </w:p>
    <w:p>
      <w:pPr>
        <w:spacing w:after="0" w:line="87" w:lineRule="exact"/>
        <w:rPr>
          <w:rFonts w:ascii="Times New Roman" w:cs="Times New Roman" w:eastAsia="Times New Roman" w:hAnsi="Times New Roman"/>
          <w:sz w:val="22"/>
          <w:szCs w:val="22"/>
          <w:color w:val="auto"/>
        </w:rPr>
      </w:pPr>
    </w:p>
    <w:p>
      <w:pPr>
        <w:jc w:val="both"/>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unique and could be challenged, and if any challenges were to be successful, we could incur financial penalties, affected Medical Groups could be excluded from participation in federal health care programs, we could be required to make significant operational changes, which could negatively impact our financial performance and threaten existing relationships with Privia Physicians, and we could experience negative publicity, which could slow our growth projections;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and profits could be diminished if we fail to retain our Privia Physicians or fail to recruit new Privia Physicians to affiliate with our Medical Groups;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Medical Groups, some of which we do not own, to furnish Privia Providers, to provide professional services to patients on behalf of federal health care programs and commercial payers, and our business could be adversely affected by our Medical Groups failure to maintain relationships with Privia Providers and/or recruit new and replacement Privia Providers;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of our revenue transitions from fee-for-service to value-based reimbursement models such transitions may change the nature of our legal and regulatory risks, increase the costs necessary for our Medical Groups to furnish such care, and place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greater portion of our current revenue at risk for costs that we may not always have the ability to control, all of which may have a material adverse effect on our financial condition and operations;</w:t>
      </w:r>
    </w:p>
    <w:p>
      <w:pPr>
        <w:spacing w:after="0" w:line="54" w:lineRule="exact"/>
        <w:rPr>
          <w:sz w:val="20"/>
          <w:szCs w:val="20"/>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EMR vendor, athenahealth, Inc., which our Privia Technology Solution is integrated and built upon, and our business could be adversely affected if that relationship were disrupted;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we anticipate increasing expenses in the future, and we may not be able to maintain profitability;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could compromise sensitive information related to our business or our patients, or prevent us from accessing critical information and expose us to liability, which could adversely affect our business, operations and our reputation;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complying with, or our failure to comply with, U.S. and foreign laws related to privacy, data security and data protection could adversely affect our financial condition, operating results and reputation;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industry is highly competitive;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thee impact on us of recent healthcare legislation and other changes in the healthcare industry and in healthcare spending is currently unknown, but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reimbursement rates paid by third-party payers are reduced or if such payers otherwise restrain our ability to provide services to their enrollees through narrow network products or otherwise, our business could be harmed;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the execution of our growth strategy, which may not prove viable and we may not realize expected results;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vendors for many of our services, including our Patient Technology Solution, and any failure or interruption in the services, or failure to protect the privacy and security of our information during the provision of such services could expose us to litigation, result in a reduction of our management fees or the imposition of financial penalties on our management services organizations, and hurt our reputation and relationships with our Privia Physicians, our Medical Groups, and their patients;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and litigation, including intellectual property and privacy disputes, which are costly to defend and could materially harm our business and results of operations;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business results may suffer from an economic downturn, including the ability to attract and retain qualified personnel at competitive rates;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health-related information, is subject to the federal Health Insurance Portability and Accountability Act of 1996, as amended from time to time (collectively HIPAA), other federal and state privacy and security regulations, and contractual obligations and our actual or perceived failure to comply with such could result in significant liability or reputation harm and, in turn a material adverse effect on our patient base and operations;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effective internal control over our financial reporting, accurately report our financial results or report them in a timely manner, which may adversely affect investor confidence in us;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our business, industry, Medical Groups or Privia Providers may have a material adverse effect on our financial results;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and the market price of our common stock may drop below the price you pay.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Our Business and Our Industry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which increases our costs and could restrict the conduct of our business, and if we fail to comply with applicable healthcare laws and government regulations, which may change from time to time, we could incur financial penalties, become excluded from participating in government health care programs, be required to make significant operational changes or experience adverse publicity, which may adversely affect our business.</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U.S. healthcare industry is heavily regulated and closely scrutinized by federal, state and local authorities. Comprehensive statutes and regulations, some of which require our reliance on Privia Providers to comply with, govern the manner in which our Medical Groups provide and bill for services and collect reimbursement from federal health care programs and commercial payers, our contractual relationships with our Privia Providers, vendors, health network partners and customers, how we contract with commercial payers, our marketing activities and other aspects of our operations. Of particular importance are:</w:t>
      </w:r>
    </w:p>
    <w:p>
      <w:pPr>
        <w:spacing w:after="0" w:line="116" w:lineRule="exact"/>
        <w:rPr>
          <w:sz w:val="20"/>
          <w:szCs w:val="20"/>
          <w:color w:val="auto"/>
        </w:rPr>
      </w:pPr>
    </w:p>
    <w:p>
      <w:pPr>
        <w:ind w:left="66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state laws that prohibit general business corporations, such as us, from practicing medicine, controlling Privia Physicians’ medical decisions or engaging in practices such as splitting professional fees with Privia Physicians;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right="20" w:hanging="328"/>
        <w:spacing w:after="0" w:line="234"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laws pertaining to non-physician clinicians, such as nurse practitioners and physician assistants, including requirements for physician supervision of such clinicians and reimbursement-related requirements;</w:t>
      </w:r>
    </w:p>
    <w:p>
      <w:pPr>
        <w:spacing w:after="0" w:line="132"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physician self-referral law, commonly referred to as the Stark Law, which, subject to certain exceptions, prohibits physicians from referring Medicare patients to an entity for the provision of certain “designated health services”, or DHS, such as laboratory and other ancillary health care services if the physician or a member of the physician’s immediate family has a direct or indirect financial relationship (including an ownership interest or a compensation arrangement) with the entity, and prohibits the entity from billing Medicare for such DHS;</w:t>
      </w:r>
    </w:p>
    <w:p>
      <w:pPr>
        <w:spacing w:after="0" w:line="127" w:lineRule="exact"/>
        <w:rPr>
          <w:rFonts w:ascii="Arial" w:cs="Arial" w:eastAsia="Arial" w:hAnsi="Arial"/>
          <w:sz w:val="22"/>
          <w:szCs w:val="22"/>
          <w:color w:val="auto"/>
        </w:rPr>
      </w:pPr>
    </w:p>
    <w:p>
      <w:pPr>
        <w:jc w:val="both"/>
        <w:ind w:left="660" w:hanging="328"/>
        <w:spacing w:after="0" w:line="249"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Anti-Kickback Statute, or AKS, which, subject to certain exceptions known as “safe harbors,” prohibits the knowing and willful offer, payment, solicitation or receipt of any bribe, kickback, rebate or other remuneration, directly or indirectly, overtly or covertly in cash or in kind, to induce, or in return for, either the referral of an individual, or the lease, purchase, order or recommendation of, items or services covered, in whole or in part, by government healthcare programs such as Medicare and Medicaid. Although there are a number of statutory exceptions and regulatory safe harbors protecting some common activities from prosecution, the exceptions and safe harbors are drawn narrowly. By way of example, the AKS safe harbor for value-based arrangements requires, among other things, that the arrangement does not induce a person or entity to reduce or limit medically necessary items or services furnished to any patient. Failure to meet the requirements of a safe harbor, however, does not render an arrangement illegal, although such arrangements may be subject to greater scrutiny by government authorities. Further, a person or entity can be found guilty of violating the AKS without actual knowledge of the statute or specific intent to violate it;</w:t>
      </w:r>
    </w:p>
    <w:p>
      <w:pPr>
        <w:spacing w:after="0" w:line="125" w:lineRule="exact"/>
        <w:rPr>
          <w:rFonts w:ascii="Arial" w:cs="Arial" w:eastAsia="Arial" w:hAnsi="Arial"/>
          <w:sz w:val="22"/>
          <w:szCs w:val="22"/>
          <w:color w:val="auto"/>
        </w:rPr>
      </w:pPr>
    </w:p>
    <w:p>
      <w:pPr>
        <w:jc w:val="both"/>
        <w:ind w:left="660" w:hanging="328"/>
        <w:spacing w:after="0" w:line="248"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civil and criminal false claims laws, including the False Claims Act, or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an obligation to pay money to the federal government. There are many potential bases for liability under the FCA. The government has used the FCA to prosecute Medicare and other government healthcare program fraud such as coding errors, billing for services not provided, and providing care that is not medically necessary or that is substandard in quality. In addition, we could be held liable under the FCA if we are deemed to “cause” the submission of false or fraudulent claims by, for example, providing inaccurate billing, coding or risk adjustment information to our Medical Groups and Privia Providers. The government may also assert that a claim including items or services resulting from a violation of the AKS or Stark Law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126"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the criminal healthcare fraud provisions of HIPAA, and related rules that prohibit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 false, fictitious or fraudulent statement in connection with the delivery of or payment for health care benefits, items or services. Similar to the federal Anti-Kickback Statute, a person or entity can be found guilty of violating the statute without actual knowledge of the statute or specific intent to violate it;</w:t>
      </w:r>
    </w:p>
    <w:p>
      <w:pPr>
        <w:spacing w:after="0" w:line="128"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civil monetary penalties laws, which impose civil fines for, among other things, the offering or transferring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laws that prohibit our Medical Groups from billing and receiving payment from Medicare and Medicaid for services unless the services furnished by our Privia Providers are medically necessary, adequately and accurately documented, timely submitted and billed using codes that accurately reflect the type and level of services rendered;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3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Medicare and Medicaid regulations, manual provisions, local coverage determinations, national coverage determinations and agency guidance that impose complex and extensive requirements upon healthcare providers, including our Medical Groups and Privia Providers;</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state laws that prohibit physicians from splitting professional fees with non-physicians, whether individuals or entities, or place restrictions on how such professional fees may be split with non-physicians, including, for instance, prohibitions on percentage-based management fees;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laws that regulate healthcare-related debt collection practices, pricing transparency and protecting patients from surprise billings;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a provision of the Social Security Act that imposes criminal penalties on healthcare providers who fail to disclose, or refund known overpayments;</w:t>
      </w:r>
    </w:p>
    <w:p>
      <w:pPr>
        <w:spacing w:after="0" w:line="130"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antitrust laws that prohibit or limit exclusive contracting relationships with healthcare providers, prohibit or limit the sharing of cost and pricing data, prohibit competitors from taking collective action to set commercial payer reimbursement rates, and determine when a joint venture or health care network is sufficiently integrated, by either sharing substantial financial risk or substantial clinical integration, to jointly contract with commercial payers;</w:t>
      </w:r>
    </w:p>
    <w:p>
      <w:pPr>
        <w:spacing w:after="0" w:line="127"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laws and policies related to healthcare providers’ licensure, certification, accreditation, Medicare and Medicaid program enrollment and reassignment of benefits;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laws and policies related to the prescribing, administrating and dispensing of pharmaceuticals and controlled substances;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state laws related to the advertising and marketing of services by healthcare providers, including Medical Group and Privia Physicians;</w:t>
      </w:r>
    </w:p>
    <w:p>
      <w:pPr>
        <w:spacing w:after="0" w:line="14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federal laws that impose civil administrative sanctions for, among other violations, inappropriate billing of services to federal health care programs or employing or contracting with individuals who are excluded from participation in federal health care programs;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laws and regulations limiting the use of funds in health savings accounts for individuals with high deductible health plans;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laws regarding the provision of telemedicine services, including necessary technological standards to deliver such services, coverage restrictions associated with such services, and the amount of reimbursement for such services;</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state laws pertaining to anti-kickback, fee splitting, self-referral and false claims, some of which are not consistent with comparable federal laws and regulations, including, for example, not being limited in scope to relationships involving government health care programs;</w:t>
      </w:r>
    </w:p>
    <w:p>
      <w:pPr>
        <w:spacing w:after="0" w:line="132"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federal and state laws pertaining to the collection, use, retention, protection, security, disclosure, transfer and processing of personal information or health information, including but not limited to HIPAA, HITECH, and the American Recovery and Reinvestment Act of 2009, as well as similar or more stringent state law;</w:t>
      </w:r>
    </w:p>
    <w:p>
      <w:pPr>
        <w:spacing w:after="0" w:line="132"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state insurance laws governing what healthcare entities may bear financial risk and the allowable types of financial risks, including direct primary care programs, provider-sponsored organizations, ACOs, independent practice associations, and provider capitation; and</w:t>
      </w:r>
    </w:p>
    <w:p>
      <w:pPr>
        <w:spacing w:after="0" w:line="85"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interoperability and prohibitive provisions against information blocking of the 21st Century Cures Act.</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and the U.S. Department of Health and Human Services Office of Inspector General, or OIG, regularly scrutinize healthcare providers, which has led to a number of investigations, prosecutions, convictions and settlements in the healthcare industry. Responding to and managing government investigations can be time and resource-consuming, divert management’s attention from the business and generate adverse publicity. Any such investigation or settlement could increase our costs or otherwise have a negative impact on our business, even if we are ultimately found to be in compliance with the relevant laws. Moreover, if one of our physician or health system partners, or another third-party fails to comply with applicable laws and becomes the target of a government investigation, government authorities could require our cooperation in the investigation, which could cause us to incur additional legal expenses, divert management’s attention from the business and result in adverse publicity.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because of the potential for large monetary exposure under the federal False Claims Act, which provides for treble damages and significant penalties, healthcare providers often settle allegations without admissions of liability for significant amounts to avoid the potential of penalties and treble damages that may be awarded in litigation proceedings. Such settlements often contain additional compliance and reporting requirements as part of a consent decree, settlement agreement or corporate integrity agreement, which may result in significant costs for several years after resolution of the original allegations and may slow our overall growth. Given the significant size of actual and potential settlements, it is expected that the government will continue to devote substantial resources to investigating healthcare providers’ compliance with the myriad of healthcare reimbursement rules and fraud and abuse laws. Because of the breadth of these laws and the narrowness of the statutory exceptions and safe harbors available, it is possible that some of our business activities could, despite our efforts to comply, be subject to challenge under one or more of such laws. Achieving and sustaining compliance with these laws may prove costly. The risk of our being found in violation of these laws and regulations is increased by the fact that many of them have not been fully interpreted by regulatory authorities or the courts, and their provisions are sometimes complex and open to a variety of interpretations. It is unknown, whether, when or how the laws, or the interpretation thereof, will change in the future and impact our business, financial condition, cash flows, and results of operations. In addition, some of the governmental and regulatory bodies that regulate us may consider enhanced or new regulatory requirements or may seek to exercise their supervisory or enforcement authority in new or more robust ways. Any of these possibilities, if they occur, could adversely affect us.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operating model seeks to structure each Medical Group as a “group practice” for purposes of the Stark Law. The Stark Law’s “group practice” definition is subject to a multi-factor analysis under the current regulatory scheme with many of the factors having multiple options for compliance. Many of the individual factors have not been subject to meaningful judicial interpretation or regulatory agency guidance, and when regulatory agency guidance is available, it is subject to change periodically. Furthermore, the test is not static, and our Medical Groups and their relationships with Privia Physicians must be periodically reviewed to ensure that they continue to meet the definition and that the safeguards built into the various agreements are being implemented and administered as required. It is possible that governmental and enforcement authorities will conclude that our business practices may not comply with the Stark Law, current or future statutes, regulations or case law interpreting applicable fraud and abuse or other healthcare laws and regulations. Depending on the circumstances, failure to meet applicable regulatory requirements can result in civil, administrative, and criminal penalties such as criminal prosecution, fines, damages, disgorgement, individual imprisonment, recoupments of overpayments, imprisonment, loss of enrollment status, exclusion from participation in federal and state funded health care programs, contractual damages, reputational harm and the curtailment or restricting of our operations, as well as additional reporting obligations and oversight if we become subject to a corporate integrity agreement or other agreement to resolve allegations of non-compliance with these laws. In addition, in order to achieve compliance with current and future regulatory requirements, we may need to discontinue an aspect of our current business or expend significant costs altering our business structure, operations, or relationship with certain third-parties, including Privia Providers and health system partners, payers, and vendors. Our failure to accurately anticipate the application of these laws and regulations to our business or any other failure to comply with current or future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Medical Groups’ ability to provide services via telehealth in certain jurisdictions.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to conduct telehealth services in a particular state is directly dependent upon the applicable laws governing remote healthcare, the practice of medicine and healthcare delivery in general in such jurisdiction, which may be subject to new laws and regulations, and changing interpretations of existing laws and regulations. In the past, state medical boards have implemented new rules or interpreted existing rules in a manner that has limited or restricted the ability of our Medical Groups to provide telehealth services, such as laws that require a provider to be licensed and/or physically located in the same state where the patient is located. Federal and state laws regarding such services, necessary technological standards to deliver such services, coverage restrictions associated with such services, and the amount of reimbursement for such services are subject to changing political, regulatory and other influences. For example, of the jurisdictions in which we currently operate, Virginia, Texas, Florida, North Carolina and the District of Columbia are not members of the Interstate Medical Licensure Compact, which streamlines the process by which physicians licensed in one state are able to practice in other participating states. Failure to comply with these laws could result in denials of reimbursement for our Privia Providers’ services (to the extent such services are billed), recoupments of prior payments, professional discipline for our Privia Providers and/or civil or criminal penalties against our Medical Groups.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many of the telehealth waivers enacted as part of the public health emergency were extended by the Consolidated Appropriations Act of 2023 until December 31, 2024, in its 2024 physician fee schedule final rule, CMS made further changes to its policies regarding, and the reimbursement of, telehealth service by Medicare, including the expansion of reimbursement for certain behavioral telehealth services and an increase in reimbursement for certain telehealth related services. Although we are still gauging the overall impact of such changes to our business, CMS appears to be committed to</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permanently increasing the utilization of telehealth services by Medicare beneficiaries. The expiration of the public health emergency and state budget woes could result in certain costs that have been borne by the government being passed on to patients, which will result in less patients covered by federal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health care programs and thereby increasing both the cost of collections and potential bad debt to health care providers. All of these changes could adversely affect our financial conditions and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profits could be diminished if we fail to retain our health system partners or our Privia Physicians or if we fail to recruit new Privia Physicians to affiliate with our Medical Groups.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operating model relies significantly on aggregating a sufficient number of Privia Physicians in each of our Medical Groups. The number of Privia Physicians in a particular market impacts our ability to negotiate competitive reimbursement rates with commercial payers, impacts our attributed lives for VBC purposes, impacts our unit cost in furnishing our services across geographic markets, and, our revenue from the provision of management services through the MSA we enter into with the Non-Owned Medical Groups. We still experience provider attrition within our Medical Groups resulting from retirement, disability, death and Privia Physicians pursuing other opportunities including hospital or health system employment, concierge medicine practices, and the sale of their Affiliated Practices. The departure of large number of Privia Providers, or the departure of key Privia Physicians’ Affiliated Practices with large patient populations, could negatively impact our revenue in the short term, and may adversely affect our ability to perform under our VBC arrangements, including our financial performance and our ability to timely and accurately meet reporting requirements. Further, the loss of any Privia Physician may result in such Privia Physician’s patient population transferring to a non-Privia Provider, which could reduce our overall revenues and profits. Moreover, we may not be able to attract new Privia Physicians to replace the services of departing Privia Physicians or to service our obligations under third-party payer programs, such as the MSSP, Medicare Advantage plans, or VBC arrangements with a commercial payer.</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certain markets in which the Non-Owned Medical Group is majority owned by one of our health system partners. In the event our partnership or affiliation with the health system partner is terminated, we may not be able to identify an alternative partner or structure in a way to retain a sufficient number of Privia Physicians in the market. Even if we are able to identify an alternative partner or structure, we may also be subject to contractual prohibitions that could delay or limit our ability to retain Privia Physicians in such alternative structure.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standard agreements between our Medical Groups and our Privia Physicians do not generally prohibit Privia Physicians from competing with us after the term of the agreements. Further, in our deals with certain Medical Groups where we have post-termination non-compete obligations and other restrictive covenants that prohibit our Privia Providers from working with a competitor of ours, there can be no assurance that such non-compete agreements, when asserted against a departing Privia Provider will be found enforceable if challenged. This risk that the courts would not enforce non-compete restrictions that are beneficial to our operations is exacerbated by the FTC’s proposed rule that would ban noncompete clauses in employment contracts. In such event, we could be unable to prevent such departing Privia Provider and other providers formerly affiliated with us from competing with us and/or our Medical Groups, potentially resulting in the loss of some of our patients, which could negatively affect our overall revenues and profits.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we move into new markets, our success in each market is dependent on our ability to recruit a sufficient number of Privia Providers to allow us to fully implement our operating model. Our failure to do so may ultimately result in our inability to compete effectively in such market. In addition, as we incur significant upfront time and costs in operating in a new market, including management time and attention, our failure to compete effectively in a new market could negatively affect our profits as well as our reputation within the larger physician community.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Medical Groups, some of which we do not own, to furnish Privia Providers, to provide professional services</w:t>
      </w:r>
    </w:p>
    <w:p>
      <w:pPr>
        <w:spacing w:after="0" w:line="3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 patients on behalf of federal health care programs as defined in 42 U.S.C.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1320a-7(f), and commercial payers, and our business could be adversely affected by legal challenges to our business model.</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model includes Owned Medical Groups, Non-Owned Medical Groups, MSOs that furnish management services on behalf of our Medical Groups and ACOs, a technology-enabled platform that overlays our Privia Providers’ EMR, and, in most markets, a separate legal entity that serves as an ACO under the MSSP as established by the Patient Protection and Affordable Care Act and a provider network vehicle for VBC, such as an independent physician association, or IPA, on behalf of our Medical Groups as well as, in certain markets, independent, non-Privia Providers.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conduct business in each state is dependent upon that specific state’s treatment of each component of the Privia operating model under such state’s laws, regulations and policies governing the practice of medicine, physician fee splitting prohibitions, state restrictions on the use and disclosure of patient health information and other confidential information among the various components of our operating model, restrictions on the types of provider entities that can take financial risk or the types of financial risks that can be assumed by providers before triggering the state’s insurance laws requiring licensure from the state’s insurance department or agency.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laws of many states, including states in which we currently operate, prohibit us from exercising control over the medical judgments or decisions of our Privia Physicians and from engaging in certain financial arrangements, such as splitting professional fees with Privia Providers or incentivizing certain types of utilization. These laws and their interpretations vary from state to state, and are enforced by state courts and regulatory authorities, each with broad discretion. We have relationships with Medical Groups in each of our markets which our Privia Providers join to furnish healthcare services as an integrated, single-TIN legal entity. When permitted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state law, these may be structured as Owned Medical Groups and we own a majority interest in all of our Owned Medical Groups but, even in such markets, we and our MSOs are still prohibited from controlling any aspect of the practice of medicine, including, without limitation, decisions regarding professional medical judgment, diagnosis and treatment of patients and supervisory responsibility for all licensed non-physician clinicians, unlicensed individuals to whom the physician delegates nondiscretionary duties and any other individual providing any service that could constitute the practice of medicine. Our financial statements are consolidated in accordance with applicable accounting standards and include the accounts of our majority-owned subsidiaries. Such consolidation for accounting and/or tax purposes does not, is not intended to, and should not be deemed to, imply or provide us any control over the medical or clinical affairs of such practices. In other states, such as California, Texas, North Carolina and Tennessee, we are prohibited from having any ownership interest or governance control in our Medical Groups and these are structured as Non-Owned Medical Groups. In such instances, (i) we generally appoint a Privia Physician licensed in the market to the governing board of such Non-Owned Medical Groups but we have little in the way of governance control of the Non-Owned Medical Groups other than through our MSAs; or (ii) alternatively, in certain markets, we have certain</w:t>
      </w:r>
    </w:p>
    <w:p>
      <w:pPr>
        <w:spacing w:after="0" w:line="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licensed physicians with Privia leadership positions form professional entities to own the majority interest in Friendly Medical Groups. If a jurisdiction’s prohibition on the corporate practice of medicine is interpreted in a manner that is inconsistent with our structure or operations, we could be required to restructure or terminate our arrangements with our Non-Owned Medical Groups and Friendly Medical Groups and could result in additional penalties, damages and fines. We enter into agreements with our Medical Groups in our various markets and through which our Privia Providers furnish healthcare services on behalf of our Medical Groups. In addition, we enter into contracts on behalf of our Medical Groups and ACOs with federal health care programs and commercial payers to deliver healthcare services in exchange for fees. Such fees may be structured as FFS, VBC or both. We also enter into exclusive MSAs with our Medical Groups pursuant to which the Medical Groups reserve exclusive control and responsibility for all aspects of the practice of medicine and the delivery of medical services. Our Medical Groups also enter into services arrangements with our Privia Physicians’ Affiliated Practices to provide certain services to support our Privia Physicians at their historic practice locations.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seek to substantially comply in all material respects with applicable state laws, including prohibitions on the corporate practice of medicine and fee splitting, state officials who administer these laws or other third parties may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Medical Groups to comply with these statutes, could jeopardize our performance in federal health care programs and commercial payer arrangements, could result in a decrease in management fees under our MSAs, could slow our growth by making it harder to recruit Privia Physicians to join our Medical Groups, and could result in a renegotiation of our existing agreements with Privia Physicians, all of which could have a material adverse effect on our business, financial condition and the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transition from fee-for-service to value-based reimbursement models may have a material adverse effect on our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healthcare industry’s transition from fee-for-service to value-based reimbursement models, which can include risk-sharing, bundled payment and other innovative approaches provide us and our Medical Groups with opportunities to provide new or additional services and to participate in incentive-based payment arrangements. There can be no assurance that such new models and approaches will be profitable to us or our Medical Groups, or that past performance under such VBC models will reflect future performance as the healthcare costs for these populations are not always under our control, depend upon the health acuity of such populations and subject to local practices and population demographics. Further, new models and approaches may require investment by us to develop technology or expertise to offer necessary and appropriate solutions or support to our Medical Groups, and we do not fully know the amount and timing for return of such investment at this time. In addition, some of these new models are being offered as pilot programs and there is no assurance that they will continue or be renewed. Many states in which these new value-based structures are being developed also lack regulatory guidance or a well-developed body of law for these new models and approaches, or may not have updated their laws or enacted legislation yet to reflect such new healthcare models. As a result, new and existing laws, regulations or guidance could have a material adverse effect on our operations and could subject us to the risk of restructuring or terminating our arrangements with our Medical Groups, as well as the risk of regulatory enforcement, penalties and sanctions, if state and federal enforcement agencies disagree with our interpretation of these laws.</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 of downstream risk-sharing arrangements, including, but not limited to, capitation and other value-based arrangements, varies significantly from state to state. Some states require downstream entities and risk-bearing entities, or RBEs, to obtain an insurance license, a certificate of authority, or an equivalent authorization, in order to participate in downstream risk-sharing arrangements with payers. In some states, statutes, regulations and/or formal guidance explicitly address whether and in what manner the state regulates the transfer of risk by a payer to a downstream entity. However, the majority of states do not explicitly address the issue, and in such states, regulators may nonetheless interpret statutes and regulations to regulate such activity. If downstream risk-sharing arrangements are not regulated directly in a particular state, the state regulatory agency may nonetheless require oversight by the licensed payer as the party to such a downstream risk-sharing arrangement. Such oversight is accomplished via contract and may include the imposition of reserve requirements, as well as reporting obligations. Further, state regulatory stances regarding downstream risk-sharing arrangements can change rapidly and codified provisions may not keep pace with evolving risk-sharing mechanisms and other new value-based reimbursement models. Certain of the states where we currently operate, or may choose to operate in the future, and the Medicare Advantage program, regulate the operations and financial condition of risk bearing entities.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regulations can include capital requirements, stop loss insurance, licensing or certification, governance controls and other similar matters. While these regulations have not had a material impact on our business to date, as we continue to expand, these rules may require additional resources and capitalization, and add complexity to our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ACA also required CMS to establish the MSSP that promotes accountability and coordination of care through the creation of Accountable Care Organizations, or ACOs. The MSSP allows for providers, physicians and other designated health care professionals and suppliers to form, and/or participate in, ACOs and voluntarily work together to invest in infrastructure and redesign delivery processes to give coordinated high quality care to their Medicare patients, avoid unnecessary duplication of services and prevent medical errors. ACOs that achieve quality performance standards established by CMS are eligible to share in a portion of the Medicare program’s cost savings. Our ACOs included physicians and advanced practitioners in California,</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Connecticut, Delaware, Florida, Georgia, Maryland, Montana, North Carolina, Tennessee, Texas, Virginia, and Washington, DC in 2023. These ACOs participate in the MSSP, and are subject to ACO program methodologies and participation requirements that are updated by CMS for each performance year. We and our Medical Groups as ACO participants are expected to comply with such program requirements and are required to report to CMS on performance after the close of each year. Failure to comply with such program requirements could subject us and our Medical Groups to significant penalties and, in some cases, termination from participating in MSSP.</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Center for Medicare and Medicaid Innovation (or more recently the CMS Innovation Center) continues to test an array of value-based alternative payment models, including the recent replacement of the Global and Professional Direct Contracting, or GPDC, Model with the ACO Reach program as of January 1, 2023, through which providers can negotiate directly with the government to manage traditional Medicare beneficiaries and share in the savings and risks generated from managing such beneficiaries. Although we currently do not participate in all of these payment models, we may choose to do so in the future. In addition, there likely will continue to be regulatory proposals directed at containing or lowering the cost of healthcare, as government healthcare programs and other third-party payers transition from fee-for-service, or FFS, to value-based reimbursement models, which can include risk-sharing, bundled payment and other innovative approaches. It is possible that the federal or state governments will implement additional reductions, increases, or changes in reimbursement in the future under government programs that may adversely affect us or increase the cost of providing our services. The implementation of cost containment measures or other healthcare reforms may prevent us from being able to generate revenue or attain growth, any of which could have a material adverse effect on our business.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operating model also seeks to structure each Medical Group with sufficient integration to allow such Medical Group to negotiate on behalf of its Privia Providers with both federal health care programs and commercial payers. That is, from federal and state antitrust law perspectives, each Medical Group is structured to be a single entity, with a single-TIN, fully capable of establishing the prices for which it sells its products and services. Our Privia Care Partners model, which offers a more flexible provider affiliation model than our historical Medical Groups, creates additional legal concerns especially under state and federal antitrust laws. We believe we have structured these arrangements, often with the knowledge and support of payers, to either have significant clinical integration or share significant financial risk so as to allow for single signature contracting authority with payers.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Similarly, our operational ACOs, which all participate in the MSSP, have been structured in a manner that we believe that all participants in the ACO, including our Medical Groups, are substantially clinically integrated in accordance with the then current guidance from the Federal Trade Commission to allow our ACOs to negotiate payer contracts, including pricing terms, on behalf of our participating providers, including our Medical Groups. Our ACOs and other network intermediaries, such entities typically participate in both the MSSP and commercial VBC arrangements. We have not, however, requested a formal advisory opinion from the Federal Trade Commission or a business review from the Department of Justice Antitrust Division for either our Medical Groups, ACOs or other network relationships. The Biden Administration appears committed to increasing antitrust enforcement and the scope of current antitrust laws as evidenced by Executive Order 14036 “Promoting Competition in the American Economy,” which, among other things, expresses concern about excessive market concentration in health care markets, including the insurance, hospital and prescription drug markets. Given the current state of health care industry antitrust enforcement and the FTC and DOJ’s withdrawal of past joint policy statements, including the FTC and DOJ’s Statement of Antitrust Enforcement Policy Regarding Accountable Care Organizations. Participating in the Medicare Shared Savings Program, the FTC or DOJ could challenge our ACO or other network activities as anticompetitive. We have, however, adopted policies and practices intended to comply with the antitrust laws, including limiting the anti-competitive effect of our higher share of physician services within certain geographic markets.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successful challenge of any of these components of our operating model could result in our restructuring our relationships with our Medical Groups and ACOs, and where such relationships cannot be successfully restructured could result in our inability to furnish services in certain markets. Further, depending on the enforcement agency an antitrust violation can result in enforcement actions against us, our Medical Groups and/or ACOs ranging from a cease and desist demand, to criminal enforcement with the potential for treble damages. Even a successful defense of an antitrust claim can be very expensive, may distract key management and impair our ability to recruit new physicians. Any such action or outcome could damage our reputation, jeopardize our existing business arrangements, and could have a material adverse effect on our business, financial condition and the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EMR vendor, athenahealth, Inc., which the Privia Technology Solution is integrated and built upon, and which is utilized by most of our Owned and Non-Owned Medical Groups, and our business could be adversely affected if that relationship were disrupted.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Privia Technology Solution is not currently usable with other EMRs, and to move our Privia Providers to another EMR provider we would have to duplicate our services on that platform, which could require considerable effort, time and expense. While we have a positive working relationship with athenahealth, Inc., and while being one of their larger enterprise clients gives us priority access in resolving issues with the EMR and preferred pricing relative to going market rates, there is no assurance we will be able to maintain the relationship on positive terms. In addition, our dependency on athenahealth, Inc. creates significant risks related to service disruptions, potential cybersecurity incidents experienced by athenahealth, cessation of operations of athenahealth, Inc., or price leveraging by athenahealth, Inc. A material change in our relationship with athenahealth, Inc., whether resulting from a dispute, a change in government regulation, or the loss of this relationship, could impair our ability to provide the same level of services to our Privia Providers for some period of time and could have a material adverse effect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increasing expenses in the future, and we may not be able to maintain profitability.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reported net income (loss) of $23.1 million, $(8.6) million, and $(188.2) million for the years ended December 31, 2023, 2022 and 2021, respectively. Our accumulated deficit is $(193.6) million and $(216.7) million as of December 31, 2023 and 2022, respectively. We expect our aggregate costs will increase substantially in the foreseeable future and we may experience losses as we expect to invest heavily in increasing and expanding our operations, hiring additional employees and operating as a public company. These efforts may prove more expensive than we currently anticipate, and we may not succeed in increasing our revenue sufficiently to offset these higher expenses. To date, we have financed our operations principally from revenue earned from our Medical Group’s billing and collection for healthcare services furnished by Privia Providers, revenues earned from VBCs with our ACOs, the incurrence of indebtedness and the sale of our equity. We may not generate positive cash flow from operations or achieve profitability in any given period, and our limited operating history may make it difficult for you to evaluate our current business and our future prospects.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patients.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could be dilutive to our stockholders. If we are unable to successfully address these risks and challenges as we encounter them, our business, results of operations and financial condition could be adversely affected. Our failure to achieve or maintain profitability could negatively impact the value of our common stock.</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third-party vendors have experienced cyberattacks in the past and could experience security breaches, loss of data and other disruptions in the future which could compromise sensitive information related to our business or our patients, or prevent us from accessing critical information and expose us to liability, which could adversely affect our business, operations and our reputation.</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collect, store, use and disclose sensitive information, which includes PHI, personal information, payment information, financial information, and other data that is subject to laws and regulations, including without limitation HIPAA, Payment Card Industry Data Security State (PCI DSS), and Sarbanes-Oxley Act (SOX), and other types of personal information, relating to our employees, our Privia Providers’ patients and others. We also process and store, and use third-party service providers to process and store, sensitive information, including intellectual property, trade secrets, confidential information and other proprietary business information. We manage and maintain such sensitive data and information utilizing a combination of third-party managed data centers, public cloud-based computing systems, and software-as-a-service (SaaS) providers.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to securely process, transmit and store this sensitive data and information. Our information technology systems and those of our third-parties, strategic partners and other contractors or consultants are vulnerable to attack and damage or interruption from physical or electronic break-ins, computer viruses, and malware (e.g., ransomware), malicious code, natural disasters, terrorism, war, telecommunication, attacks by hackers, and employee or contractor error, negligence or malfeasance, denial or degradation of service attacks, sophisticated nation-state and nation-state-supported actors or unauthorized access or use by persons inside or outside our organization. We utilize third-party service providers for important aspects of the collection, storage, processing and transmission of employee and patient information, and other confidential and sensitive information, and therefore rely on third parties to manage functions that have material cybersecurity risks. Because of the sensitivity of the PHI, other personal and/or sensitive information we, our Medical Groups and their legacy practices collect, store, transmit, and otherwise process, the security of our technology-enabled platform and other aspects of our services, including those provided or facilitated by third-party service providers, are critical to our operations and business strategy. We take certain administrative, physical and technological safeguards to address these risks, such as evaluating such service providers before granting access to PHI or other personal information, and by requiring contractors and other third-party service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providers who handle this PHI, other personal and/or sensitive information for us to enter into agreements that contractually obligate them to use reasonable efforts to safeguard such PHI, other personal and/or sensitive information. Measures taken to protect our systems, those of our contractors or third-party service providers, or the PHI, other personal and/or sensitive information we or contractors or third-party service providers process or maintain, may not adequately protect us from the risks associated with the collection, storage, processing and transmission of such information. We may be required to expend significant capital and other resources to protect against security breaches or to alleviate problems caused by security breaches. Despite our implementation of security measures, cyberattacks are becoming more sophisticated and frequent across industries. We experience cyberattacks and other security incidents of varying degrees from time to time, though none which individually or in the aggregate has led to costs or consequences which have</w:t>
      </w:r>
    </w:p>
    <w:p>
      <w:pPr>
        <w:spacing w:after="0" w:line="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materially impacted our operations or business. It is reasonable to expect that ransomware activity will continue to target the healthcare and public health sectors, as it has in the past.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Because of ongoing geopolitical dynamics around the world, more state-sponsored attacks on infrastructure directed towards United States infrastructure and targets, including health care organizations, may increase. The significant increase in the number of 0-day vulnerabilities identified and exploited by threat actors prior to security patches being available could affect our or our vendors’ systems. Moreover, hardware, software or applications we use may have inherent vulnerabilities or defects of design, manufacture or operations or could be inadvertently or intentionally implemented or used in a manner that could compromise information security. There can be no assurance that we or our vendors and other third parties will not be subject to cybersecurity threats and incidents that bypass our or their security measures, impact the integrity, availability or privacy of personal health information or other data subject to privacy laws or disrupt our or their information systems, devices or business, including our ability to provide various health care services. Further, consumer confidence in the integrity and security of personal information and critical operations data in the health care industry generally could be shaken to the extent there are successful cyberattacks at other health care services companies, which could have a material adverse effect on our business, financial position or results of operations. We or our third-party service providers may be unable to anticipate these techniques or to implement adequate protective measures, especially as workforce members and vendors’ workforce continue to work remotely. We may also experience security breaches that may remain undetected for an extended period. Even if identified, we may be unable to adequately investigate or remediate incidents or breaches due to attackers use of tools and techniques designed to circumvent controls, to avoid detection, and to remove or obfuscate forensic evidence.</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security breach or privacy violation that leads to disclosure or unauthorized use or modification of, or that prevents access to or otherwise impacts the confidentiality, security, or integrity of, any personal information, patient information, including PHI subject to HIPAA or any other sensitive information we or our contractors or third-party service providers maintain or otherwise process, could harm our reputation, compel us to comply with breach notification laws, cause us to incur significant costs for remediation, fines, penalties, notification to individuals and for measures intended to repair or replace systems or technology and to prevent future occurrences, potential increases in insurance premiums, and require us to verify the accuracy of database contents, resulting in increased costs or loss of revenue. If we are unable to prevent or mitigate such security breaches or privacy violations or implement satisfactory remedial measures, or if it is perceived that we have been unable to do so, our operations could be disrupted, we may be unable to provide access to our systems, and we could suffer a loss of Privia Physicians and patients, and we may as a result suffer loss of reputation, adverse impacts on our Privia Providers, patients and investor confidence, financial loss, governmental investigations or other actions, regulatory or contractual penalties, and other claims and liability. In addition, security breaches and other inappropriate access to, or acquisition or processing of, information can be difficult to detect, and any delay in identifying such incidents or in providing any notification of such incidents may lead to increased organizational harm.</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service providers from time to time have experienced in the past and may experience in the future cyberattacks and security incidents. While we do not believe that we have experienced any significant system failure, accident or security breach to date, if such an event were to occur, it could compromise our networks or data security processes and sensitive information could be made inaccessible or could be accessed by unauthorized parties, publicly disclosed, lost or stolen. Any such interruption in access, improper access, disclosure or other loss of information could result in legal claims or proceedings, liability under laws and regulations that protect the privacy of patient information or other personal information, such as HIPAA, and regulatory penalties. Unauthorized access, loss or dissemination could also disrupt our operations, including the ability of our Privia Providers to perform healthcare services, access patient health information, collect, process, and prepare company financial information, provide information about our current and future services and engage in other patient and clinician education and outreach efforts. Any such breach could also result in the compromise of our trade secrets and other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Further, we maintain copies of our critical operational information, including our EMR data, in different geographic settings and the cloud, and we may not be able to access such copies in the event of a national emergency or widespread natural disaster. Any such breach or interruption of our systems or those of any of our third-party service providers could have a material adverse effect on our business, results of operations, financial condition and cash flows.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Cybersecurity risks and incidents remain a focus for regulators. The SEC finalized its cybersecurity rules, which went into effect on December 15, 2023 and require publicly listed companies to disclose particular information about material cybersecurity incidents in Form 8-K filings, including the material impact of the incident on a company’s financial condition and its operations. Such disclosures are costly, require us and our third parties to update internal policies and procedures, and the disclosure or the failure to comply with such requirements could lead to adverse consequences. In the event that the Company (or a third-party upon whom we rely) suffers a cybersecurity breach, or are perceived to have experienced a cybersecurity breach, we may experience adverse consequences, such as government enforcement actions, litigation, indemnification obligations, reputational harm, interruptions in our operations, financial loss; and other similar harms. Such mandatory disclosure of cybersecurity incidents may cause existing customers to stop using our services, deter new customers from using our services, and could adversely affect our business, reputation and competitive position. Cybersecurity will continue to be a focus for the SEC and it is likely to seek opportunities to implement its authority under the cybersecurity rules in ways that may not be predictable given the recency of the rules and novel actions in this space.</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Achieving success in VBC arrangements requires </w:t>
      </w:r>
      <w:r>
        <w:rPr>
          <w:rFonts w:ascii="Times New Roman" w:cs="Times New Roman" w:eastAsia="Times New Roman" w:hAnsi="Times New Roman"/>
          <w:sz w:val="21"/>
          <w:szCs w:val="21"/>
          <w:color w:val="auto"/>
        </w:rPr>
        <w:t>sharing</w:t>
      </w:r>
      <w:r>
        <w:rPr>
          <w:rFonts w:ascii="Times New Roman" w:cs="Times New Roman" w:eastAsia="Times New Roman" w:hAnsi="Times New Roman"/>
          <w:sz w:val="18"/>
          <w:szCs w:val="18"/>
          <w:color w:val="auto"/>
        </w:rPr>
        <w:t xml:space="preserve"> sensitive personal information and PHI with multiple third-parties, covered entities, and different health care providers to allow care coordination and to reduce the total cost of care and improve patient outcomes. Increased data sharing increases cybersecurity risk.</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dependency on digital technologies and the extensive data exchange inherent in VBC arrangements heighten our exposure to cybersecurity risks. The nature of our VBC operations necessitates the handling of large volumes of sensitive personal and health information. The healthcare industry, by virtue of its focus on VBC models, faces unique challenges that arise from the need to manage rising healthcare costs and improve outcomes through data-driven strategies. In light of our strategy to transition more of our FFS revenue to VBC operations, the risk of cybersecurity breaches increases because of the number of covered entities, health care providers, and third parties that require data sharing to achieve successful outcomes in VBC arrangements. A breach of any one of those parties could lead to unauthorized access, misuse, loss, or destruction of sensitive data, potentially impacting patient care, trust, and satisfaction. It could also have legal, financial, and reputational consequences adversely affecting our financial condition and operating results.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costs of complying with, or our failure to comply with, U.S. and foreign laws related to privacy, data security and data protection could adversely affect our financial condition, operating results and reputation.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nature of our business, we are or may become subject to a variety of laws and regulations regarding privacy, data protection and data security. For discussion of the various laws and regulations affecting our business, see “Item 1 – Business – Government Regulations” in Item 1 of this Annual Report on Form 10-K. The scope and interpretation of these laws and additional laws that are or may be applicable to us are continuously evolving, often uncertain and may be conflicting. All of these evolving compliance and operational requirements impose significant costs that are likely to increase over time and may restrict the way services involving data are offered, all of which may adversely affect our results of operations and competitiveness. Complying with these and similar laws and regulations may require us to make significant changes to our operations, which rely on the commitment of significant financial and managerial resources and effective planning and management processes. We may be unable to implement required operational changes effectively, efficiently or in a timely manner, which could result in cost overruns, additional expenses, reputational harm, legal and regulatory actions and other adverse consequences. Unauthorized disclosure or transfer of personal or otherwise sensitive data, whether through systems failure, employee negligence, fraud, misappropriation or other means, by us, our third-party vendors with whom we do business could subject us to significant litigation, monetary damages, regulatory enforcement actions, fines, criminal prosecution and other adverse consequences in one or more jurisdictions. Such events could result in negative publicity and damage to our reputation, which could have a material adverse effect on our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competitive.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compete directly with national, regional and local providers of healthcare services for patients, physicians, non-physician clinicians and skilled employees. There are many other companies and individuals currently providing healthcare services, including others with technology-enabled, nationally focused business models similar to ours. Many of these competitors have been in business longer than us and/or have substantially more resources than we do. Since there are virtually no substantial capital expenditures required for providing healthcare services, there are few financial barriers to entry in the healthcare industry. Other companies could enter the healthcare industry in the future and divert some or all of our business. We compete with different companies across certain lines of business, including companies with: dedicated brick-and-mortar locations which often target patients covered by Medicare Advantage plans, dedicated direct primary care locations which often target a commercial or employer-based patient population, the ability to organize providers into accountable care organizations and other contractual intermediary entities allowing physicians to participate in VBC arrangements, and the ability to partner with physicians groups to enable better care delivery primarily for seniors. Our indirect competitors also include episodic point solutions, such as telemedicine offerings, as well as urgent care providers and other providers.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compete successfully varies from location to location and depends on a number of factors, including the number of competing medical practices in the local market and the types of services available at those facilities, our local reputation for quality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care of patients, the commitment and expertise of our Privia Physicians, our ability to obtain competitive reimbursement rates with commercial payers, our local service offerings and the success of physician sales efforts, the cost of care in each locality, and the physical appearance, location, age and condition of the various locations at which our Privia Physicians furnish patient care services. If we are unable to attract patients to our Medical Groups, our revenue and profitability will be adversely affected. Some of our competitors may have greater recognition and be more established in their respective communities than we are, and may have greater financial and other resources than we have. Competing medical practices may also offer larger facilities or different programs or services than we do including through complementary services, which, combined with the foregoing factors, may result in our competitors being more attractive to our current patients, potential patients and referral sources. Furthermore, while we budget for routine capital expenditures to stay competitive in our respective markets, to the extent that competitive forces cause those expenditures to increase in the future, our financial condition may be negatively affected. In addition, our relationships with federal health care programs and commercial payers are not exclusive, and our competitors have established or could seek to establish relationships with such payers to serve their covered patients. Additionally, as we expand into new geographical markets, we may encounter competitors with stronger relationships or recognition in the community in such new geography, which could give those competitors an advantage in obtaining physicians and new patients. Our Privia Providers, Non-Owned Medical Groups and companies in other healthcare industry segments, including those with which we have contracts, and some of which have greater financial, marketing and staffing resources, may become competitors in providing healthcare services, and this competition may have a material adverse effect on our business operations and financial position.</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our revenue streams ultimately depends on reimbursements by third-party payers, as well as payments by individuals, which could lead to delays and uncertainties in the reimbursement process, and periodic changes to our reimbursement rates.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reimbursement process is complex and can involve lengthy delays. Although we recognize FFS revenue for our Owned Medical Groups when their associated Privia Providers approve the claims for providing services to patients, we may from time to time experience delays in receiving the associated reimbursement and, with respect to VBC arrangements, ultimate payment of any shared savings, bonuses, withholds and similar payments is received only after the close of the relevant measure period, which may be a calendar year, and then only after the payer has reconciled cost of care, FFS reimbursement paid, if any, reported quality data, and patient attribution resulting in significant delays between the provision of services and ultimate payment. In addition, third-party payers may disallow, in whole or in part, requests for reimbursement based on determinations that the patient is not eligible for coverage, certain amounts are not reimbursable under plan coverage or were for services provided that were not medically necessary, not adequately documented or after submitting additional supporting documentation requested by the payer. Retroactive adjustments may change amounts realized and recognized as revenue from third-party payers. We are subject to audits by such payers, including governmental audits of our Medicare claims, and may be required to repay these payers if a finding is made that we were incorrectly reimbursed. Delays and uncertainties in the reimbursement process may adversely affect accounts receivable, increase the overall costs of collection and cause us to incur additional borrowing costs. Third-party payers are also increasingly focused on controlling healthcare costs, and such efforts, including any revisions to coverage and reimbursement policies, which may further complicate and delay our reimbursement of claims.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certain of our patients are covered under health plans that require the patient to cover a portion of their own healthcare expenses through the payment of copayments or deductibles. We may not be able to collect the full amounts due with respect to these payments that are the patient’s financial responsibility, or in those instances where our Privia Physicians provide services to uninsured individuals or individuals for which the physician is out of network. To the extent permitted by law, amounts not covered by third-party payers are the obligations of individual patients for which we may not receive whole or partial payment. Any increase in cost shifting from third-party payers to individual patients, including as a result of high deductible plans for patients, increases our collection costs and reduces overall collections.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more of our Medical Groups’ revenue derive from VBC, our failure to adequately predict and control our Medical Groups’ costs and expenses, and to make reasonable estimates and maintain adequate accruals for incurred but not reported claims, could have a material adverse effect on our business, results of operations, financial condition and cash flows. To the extent that our Medical Groups’ patients require more care than anticipated or our medical costs and expenses exceed estimates, reimbursement paid under our VBC arrangements may be insufficient to cover costs. In any given situation, this may negatively impact both our revenue from Medical Groups and our revenue from the management services furnished to our Non-Owned Groups. Although we can mitigate some of this risk on a case-by case basis with stop loss coverage, we generally have little ability to increase our charges during the terms of our VBC arrangements and we may have minimal ability to control our Medical Groups’ patients’ decisions that may increase the total cost of care.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adapt to changes in the healthcare industry, including changes to laws and regulations regarding or affecting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industry, our business, financial condition and results of operations may be adversely affected.</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on us of any new healthcare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ongoing changing political, regulatory and other influences. By way of example, the ACA, which was enacted in 2010, made major changes in how healthcare is delivered and reimbursed, and it increased access to health insurance benefits to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uninsured and underinsured populations of the United States. We embrace many of the goals of the ACA, including our current ACOs actively participating in the MSSP, which have resulted in shared savings under the MSSP in excess of $510 million since we started participating in the program in 2014. Since its enactment, there have been judicial, executive, Congressional and political challenges to certain aspects of the ACA and there are indications that such challenges may continue. Although the Biden administration has undertaken a number of initiatives in support of the ACA, including expanding enrollment, the current political climate ensures that the ACA will continue to be a political focal point and, as such, volatility could negatively impact our financial performance as well as the financial performance of our Medical Groups.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model, the Privia Technology Solution and our revenue are dependent on the healthcare industry’s continued movement towards providers assuming more risk from payers for the cost of patient care. Any legislative, regulatory or industry changes that slows or limits that movement or otherwise reduces the non-facility-based healthcare spending could most likely be detrimental to our business, revenue, financial projections and growth. VBC arrangements typically require providers to achieve certain quality indicators either as a gating prerequisite to realizing value-based revenue enhancements or as a positive or negative multiplier related to such payments, including, for example, the MSSP. Periodic changes to the quality metrics that our Privia Providers are required to report, either as to the included metric, how the metric is measured or the necessary thresholds for satisfying the metric, could adversely impact our revenue relative to such VBC arrangements.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impacted by the Medicare Access and CHIP Reauthorization Act, under which physicians must choose to participate in one of two Quality Payment Program (“QPP”) payment methodologies or “tracks” designed to reward physicians for delivering high-quality patient care: the Merit-Based Incentive Payment System, or MIPS; or participation in an Advanced Alternative Payment Model, or Advanced APM. CMS expects to transition increasing financial risk to providers as the QPP evolves. The Advanced APM track makes incentive payments available for participation in specific innovative payment models approved by CMS. Providers may earn up to 3.5% Medicare incentive payment through 2025. The Medicare Physician Fee Schedule final rule for calendar year 2004 included a number of changes impacting physicians such as retention of the 75% MIPS performance threshold, changes in reporting for Alternative Payment Models (APMs) and ACOs, and expansion of MIPS Value Pathways (MVPs).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Payments from such federal health care programs are subject to periodic statutory changes, annual regulatory changes, administrative rulings, interpretations and determinations, requirements for utilization review and federal and state funding restrictions, each of which could increase or decrease program payments, as well as affect the cost of providing service to patients and the timing of payments to our Medical Groups, and our ACOs. We are unable to predict the effect of recent and future policy changes on our operations. In addition, the uncertainty and fiscal pressures placed upon federal health care programs as a result of, among other things, deterioration in general economic conditions, reduced tax revenue and the funding requirements, may affect the availability of taxpayer funds for such federal health care programs. Current and prior healthcare reform proposals have included the concept of creating a single payer or public option for health insurance. If enacted, these proposals could have an extensive impact on the healthcare industry, including us. We are unable to predict whether such reforms may be enacted or their impact on our operations. Changes in federal health care programs may reduce the reimbursement we receive and could adversely impact our business and results of operations.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healthcare costs continue to increase, and federal and state governments continue to face budgetary shortfalls, federal and state governments have made, and may continue to make, significant changes in the Medicare and Medicaid programs. These changes could include reductions in reimbursement levels and new or modified demonstration projects authorized pursuant to Medicaid waivers. Some of these changes have decreased, or could decrease, the amount of money our Medical Groups receive for furnishing patient care services relating to these programs. In some cases, private third-party payers rely on all or portions of Medicare payment systems to determine payment rates. Changes to federal health care programs that reduce payments under these programs may negatively impact the payments our Medical Groups receive from private third-party payers.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and commercial payers will pay for healthcare services, which could harm our business, financial condition and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reimbursement rates paid by third-party payers are reduced or if commercial payers otherwise restrain our ability to provide services to their enrollees through narrow network products or otherwise, our business could be harmed.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typical agreements with commercial payers only secure agreed reimbursement rates for a relatively short period of time, generally for a period of one to three years. Likewise, at this time, all of our existing commercial payer contracts are local or regional contracts as opposed to national contracts. If any commercial payers reduce their reimbursement rates, elect not to cover some or all of our Medical Group’s healthcare services, or restrain our Privia Providers’ ability to furnish services to their patients through the use of tiered pricing or a narrow network offering, our business may be harmed. If such events were to occur, not only is revenue to our Medical Groups reduced, which in turn reduces our management fees, but if our commercial payer contracts are not competitive in a given market or we are unable to obtain a contract with certain commercial payers, we limit our ability to recruit new Privia Physicians and may not be able to achieve our growth expectations. Additionally, as our payers’ businesses respond to market dynamics and financial pressures, and as our payers make strategic business decisions in respect of the lines of business they pursue and programs in which they participate, certain of our payers have sought in the future payers may, seek to renegotiate their contracts with us. These negotiations could result in reductions to the economic terms, changes to the scope of services contemplated by our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payer contracts, or termination of certain payer contracts. If a payer does terminate or elects not to renew its relationship with us, our ability to retain patients associated with that payer is limited and consequently could have a material adverse effect on our business, results of operations, financial condition and cash flows.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Commercial payers often use plan structures, such as narrow networks or tiered networks, to encourage or require members to use in-network providers. In-network providers typically provide services through commercial payers for a negotiated lower rate or other less favorable terms and achieve their margins by increased volume of services. Commercial payers generally attempt to limit the use of out-of-network providers by requiring members to pay higher copayment and/or deductible amounts for out-of-network care. Additionally, commercial payers have become increasingly aggressive in attempting to minimize the use of out-of-network providers by disregarding the assignment of payment from their enrollees to out-of-network providers (i.e., sending payments directly to members instead of to out-of-network providers), capping out-of-network benefits payable to members, waiving out-of-pocket payment amounts and initiating litigation against out-of-network providers for interference with contractual relationships, insurance fraud and violation of state licensing and consumer protection laws. If we become out-of-network for insurers, our business could be harmed and our patient service revenue could be reduced because members could stop using our services. Further, many states have laws and regulations that prevent providers from waiving patient out of pocket amounts, including out of network charges, when such providers submit their full charges to commercial payers.</w:t>
      </w:r>
    </w:p>
    <w:p>
      <w:pPr>
        <w:spacing w:after="0" w:line="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December 2020, in connection with the enactment of the Consolidated Appropriations Act of 2021, the No Surprises Act introduced national limitations on billing for certain services furnished by providers who are not in-network with the patient’s self-insured health plan, individual or group health plan. The</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Departments of Health and Human Services, Labor and Treasury have issued a number of final rules implementing the No Surprises Act. The provisions of these rules seek to limit excessive patient out-of-pocket amounts by limiting cost sharing for out-of-network services to in-network levels, requiring cost sharing for out-of-network payments to offset in-network deductibles, setting out-of-pocket maximums, requiring disclosure of patient protections against balance billing, and prohibiting balance billing under certain circumstances. These rules also establish the independent dispute resolution process that providers, facilities or providers of air ambulance services, and health plans or issuers will use to determine final payment beyond allowable patient cost-sharing for certain out-of-network healthcare services and require that certain providers and facilities provide a good faith estimate of the charges to</w:t>
      </w:r>
    </w:p>
    <w:p>
      <w:pPr>
        <w:spacing w:after="0" w:line="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uninsured (or self-pay) individuals so they can know what costs to expect when seeking healthcare. In October 2023, the Departments issued proposed rules that proposed new processes and policies for independent dispute resolution process. The agencies have continued to issue guidance regarding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implementation of the No Surprises Act, and the agencies’ interpretations of law’s requirements have continued to evolve. It is currently unclear how the No Surprise Act will impact our revenue, bad debt, and the competitive advantages of our Medical Groups being in network status across markets. Compliance continues to require additional training and the build-out of additional safeguards to comport our Medical Groups’ billing and collection practices with the new requirements of these rules.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Medicare program restructures its reimbursement rates and policies on an annual basis. The final Medicare Physician Fee Schedule payment update for calendar year 2024, cut the Medicare conversion factor for physicians by 3.4%. In December 2023, bipartisan legislation entitled, the Preserving Seniors' Access to Physicians Act of 2023, was introduced to reverse Medicare physician payment cuts but, at this point, it is unclear whether the bill will become law. Additionally, CMS has made significant changes to the structure of the its Hierarchical Condition Categories (HCC) codes, Version 28 (V28), which will likely result in lower Risk Adjustment Factor (RAF) scores in 2024 for our Medical Groups entering into new Medicare Advantage agreements. We are unable to predict the effect of recent and future policy changes on our operations.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Reimbursement uncertainty also impacts our VBC revenue. In addition to potential changes to the terms of our existing VBC arrangements by the payers, our VBC revenue is also at risk based upon annual fluctuations in payment rates for certain VBC arrangements such as Medicare Advantage payment rates, changes in patient attribution, and changes in plan design by payers. Likewise, delay in information from payers may prevent our Medical Groups from being able to make any necessary changes to mitigate any quality concerns, attribution changes or total cost of care. Additionally, CMS’ risk adjustment payment system for health plans participating in Medicare Advantage can have a significant impact on payments our Medical Groups receive for from our contracted Medicare Advantage payers. Although we and our payers, have implemented auditing and monitoring processes to collect and provide accurate risk adjustment date to CMS such programs may be not be sufficient to ensure the accuracy of such data. CMS may also change the way they measure risk and the impact of such changes on our business are uncertain.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significant risks associated with estimating the amount of revenues that we recognize under certain of our VBC arrangements with payers, and if our estimates of revenues are materially inaccurate, it could impact the timing and the amount of our revenue recognition or have a material adverse effect on our business, results of operations, financial condition and cash flows.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significant risks associated with estimating the amount of revenues that we recognize under our VBC arrangements with payers in a reporting period. The billing and collection process is complex due to ongoing insurance coverage changes, geographic coverage differences, differing interpretations of contract coverage and other payer issues, such as ensuring appropriate documentation. Determining applicable primary and secondary coverage for our patients, together with the changes in patient coverage that occur each month, requires complex, resource-intensive processes. Errors in determining the correct coordination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benefits may result in refunds to payers. Revenues associated with Medicare and Medicaid programs are also subject to estimating risk related to the amounts not paid by the primary government payer that will ultimately be collectible from other government programs paying secondary coverage, the patient’s commercial health plan secondary coverage or the patient. Collections, refunds and payer retractions typically continue to occur for up to three years and longer after our Medical Groups’ services are provided. If our estimates of revenues are materially inaccurate, it could impact the timing and the amount of our revenues recognition and have a material adverse effect on our business, results of operations, financial condition and cash flows.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payer mix of patients and potential decreases in our reimbursement rates as a result of consolidation among commercial payers could adversely affect our revenues and results of operation.</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amounts our Medical Groups receive for patient care services furnished to patients are determined by a number of factors, including the payer mix of our Privia Physicians’ patients and the reimbursement methodologies and rates utilized by our patients’ health insurance company. Reimbursement rates are generally higher for VBC than they are under traditional FFS arrangements, and VBC provides us with an opportunity to capture any additional surplus we create by investing in population health services to better manage a particular patient’s care, which, in turn, should reduce the total cost of care. Under certain VBC arrangements, either our management service organizations or our ACOs may receive specific care management fees, administrative fees or other fees to cover such population health and care management services, which may be structured as a fixed fee per member per month, or PMPM, for such services.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change in payer mix, which could result from payer restrictions on such narrow network products or economic downturn resulting in more uninsured patients or patients insured by state Medicaid programs, could adversely affect the overall reimbursement our Medical Groups receive from commercial payers. Further, changes in payer mix, may adversely impact our ability to recruit new physicians to affiliate with our Medical Groups, which could adversely affect our growth strategy and financial projections.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healthcare industry has also experienced a trend of consolidation across market segments, including the consolidation of commercial payers resulting in larger payers that have significant bargaining power, given their market share. Payments from commercial payers are the result of negotiated rates. These rates may decline based on renegotiations with larger payers resulting in higher discounted fee arrangements with healthcare providers. As a result, payers increasingly are demanding discounted fee structures or the assumption by healthcare providers of all or a portion of the financial risk related to the total cost of care of their enrollees.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the quality of services furnished by our Medical Groups or our ACO participants could have a material adverse effect on our business, results of operations, financial condition and cash flows.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monitor and manage quality metrics, including star rating for Medicare Advantage plans and MSSP quality metrics, and submit quality data on behalf of our Medical Groups, as well as our ACO participants. A failure to achieve threshold standards for quality metrics could result in the loss of any shared savings or other bonuses, or result in a reduction of such payments under VBC arrangements. Further, under the Medicare Advantage plans’ star rating system, lower star ratings correspond to lower quality ratings, and ultimately, lower payments to participating providers under the Quality Bonus Program. Further, with the implementation of MIPS and APMs, lower quality scores ultimately result in upward or downward adjustments to Privia Physicians’ Medicare Part B FFS payments. Further, lower quality ratings can potentially lead to the termination of an affiliate physician’s ability to participate in a particular commercial payer product or result in our Medical Groups not being able to participate in a particular VBC arrangement, tiered network or narrow network offering. All of these possible outcomes could have a material adverse effect on our business, results of operations, financial condition and cash flows.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reputation and brand recognition, including through the maintenance and protection of trademarks, our business and results of operations will be harmed.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is critical to our relationships with Medical Groups, Privia Providers, patients, ACO participants, and commercial payers, and to our ability to attract new Medical Groups, Privia Physicians and patients.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Medical Groups, Privia Physicians, ACO participants, health system or hospital partners, patients, or commercial payer customers, or any adverse publicity or litigation involving or surrounding us, one of our Medical Groups, or our management, could make it substantially more difficult for us to attract new Privia Physicians. Similarly, because our existing Medical Groups often act as references for us with prospective Privia Physicians or new Medical Groups, any reputational concerns could impair our ability to secure additional new Privia Physicians and Medical Groups. In addition, negative publicity resulting from any adverse government payer audit could injure our reputation. If we do not successfully maintain and enhance our reputation and brand recognition, our business may not grow and we could lose our relationships with Privia Physicians, Medical Groups, ACO participants, health system or hospital partners, patients, or commercial payer customers, which could harm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or license may be challenged, infringed, circumvented, declared generic, lapsed or determined to be infringing on or dilutive of other marks. We may not be able to protect our rights in these trademarks and trade names, which we need in order to build name recognition with patients, payers and other partners.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 can be long and unpredictable and requires considerable time and expense, which may cause our results of operations to fluctuate.</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sales cycle for physicians to become affiliated with our Medical Groups from initial contact with a potential lead to contract execution, varies widely and is unpredictable. Further, once a physician has executed the agreements associated with one of our Medical Groups, there is a long period of implementation where the physician and his or her staff are trained on our EMR, platform and workflows, which may range from two to eight months before the Privia Physician goes live with his or her Medical Group. During such implementation period, we are incurring costs associated with the implementation without any corresponding revenue. Our sales efforts involve educating potential Privia Physicians about our market offerings, the health care industry and the physician practice’s expected return on investment from becoming affiliated with the Medical Group. It is possible that in the future we may experience even longer sales cycles, especially with respect to moving into new geographic markets and as markets become more mature and concentrated, which could result in more upfront sales costs and less predictability in closing our Privia Physician sales.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expect to grow rapidly, our physician recruitment costs could outpace our build-up of recurring revenue, and we may be unable to reduce our total operating costs through economies of scale such that we are unable to achieve profitability. Any increased or unexpected costs or unanticipated delays in taking a Privia Physician live on our technology-enabled platform, including delays caused by factors outside our control, could cause a Privia Physician to terminate his or her relationship prior to going live on our technology-enabled platform causing our operating results and growth targets to suffer. Further, if a Privia Physician terminates prior to the end of the initial term, we are unlikely to recover our spent acquisition costs associated with such Privia Physician, which could negatively affect our revenue and profits.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timely implement the Privia Technology Solution for Privia Physicians and new Medical Groups, or resolve Privia Provider and patients concerns, including any technical and billing issues, in a timely manner, we may lose Medical Groups, Privia Providers and their patients, and our reputation may be harmed.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seamless onboarding of Privia Physicians, whether done by ourselves or through third-party vendors, onto our technology-enabled platform, including training on conversion to and the use of our EMR, the education of Privia Physicians and their support staff, the credentialing of Privia Physicians and other providers with applicable federal health care programs and commercial payers, training on cash flow processing, website development, and the build out of workflows and customized EMR support, if any, is essential to a timely transition to our technology-enabled platform. As of December 31, 2023, practices on the Privia Platform were converted from approximately 50 different EMR vendors. If we face unanticipated implementation difficulties or Privia Physicians and their support staff are unable to smoothly transition to our operating model, we risk delaying the go live date of our new physician practices, which could negatively impact our revenue. Further, if the Privia Physician and his or her support staff’s implementation process is not executed successfully or if execution is delayed, we could incur significant costs, Privia Physicians could become dissatisfied and decide to neither continue implementation nor go live on our technology-enabled platform. In such event, we risk litigation from the Privia Physician, especially if he or she loses access to his or her historical commercial payer contracts. In addition, competitors with less robust operating models with lower implementation costs could jeopardize both our provider and commercial payer relationships.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Privia Providers and their patients depend on our call center support services to resolve their operational concerns including technical issues relating to the Privia Technology Solution and services, and patient billing inquiries, and we may be unable to respond quickly enough to accommodate short-term increases in demand for support services, particularly as we increase the size of our Privia Physicians and patient bases. We also may be unable to modify the format of our support services to compete with changes in support services provided by competitors. It is difficult to predict demand for call center support services, and if demand increases significantly, we may be unable to provide satisfactory support services to our Privia Physicians and their patients. Further, if we are unable to address our Privia Physicians and their patients’ needs in a timely fashion or further develop and enhance our support services, or if a Privia Physician or patient is not satisfied with the quality of work performed by us or with the call center support services rendered, then we could incur additional costs to address the situation or, in certain markets, be required to issue credits or incur penalties related for such untimely or poor performance, and our profitability may be impaired and our Privia Physicians and their patients’ dissatisfaction with our support services could damage our ability to retain Privia Physicians and their patients. Such Privia Physicians may not renew their contracts, seek to terminate their relationship with us or renew on less favorable terms. Moreover, negative publicity related to our Privia Physician relationships, regardless of its accuracy, may further damage our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affecting our reputation or ability to compete for new Privia Physicians in the market. If any of these were to occur, our revenue may decline and our business, financial condition and results of operations could be adversely affected.</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evolve our service offerings in a way that is useful to our Medical Groups, Privia Physicians and their patients, our health system or hospital partners, and third-party payers, we may not remain competitive, fail to meet our growth expectations, and our revenue and results of operations could suffer.</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 for healthcare in the United States is in the midst of structural change and is evolving toward a more VBC model with an increased emphasis on technological solutions and a customer centered focus. Our success depends on our ability to keep pace with technological developments, satisfy increasingly sophisticated physician, payer and patient requirements, and sustain market acceptance. Our future financial performance will depend in part on growth in the healthcare market and on our ability to adapt to emerging demands of the market, including adapting to the ways our Medical Groups, Privia Physicians and their patients, our health system and hospital partners, and our commercial payer customers access and use our technology-enabled platform, the Privia Technology Solution and our operating model. Our competitors are constantly developing products and services that may become more efficient or appealing to Privia Physicians and their patients, our health system or hospital partners or our commercial payer customers. As a result, we must continue to invest significant resources in research and development in order to enhance our existing service offerings and introduce new high-quality services and applications that such customers will want, while offering our platform, the Privia Technology Solution and the Privia operating model at competitive prices. If we are unable to predict customer preferences or industry changes, or if we are unable to modify our service offering on a timely or cost-effective basis, we may lose Medical Groups, Privia Physicians, patients, health system or hospital partners, ACO participants and payer customers. Our results of operations could also suffer if our innovations are not responsive to the needs of our multiple stakeholders,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our technology-enabled platform, the Privia Technology Solution, or Privia operating model. This may force us to compete on additional service attributes and to expend significant resources in order to remain competitive.</w:t>
      </w:r>
    </w:p>
    <w:p>
      <w:pPr>
        <w:spacing w:after="0" w:line="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Medical Groups, Privia Providers, health system or hospital partners, ACO participants or payer customers do not continue to renew their contracts with us, renew at lower fee levels or decline to purchase additional applications and services from us, it could have a material adverse effect on our business, financial condition and results of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derive a significant portion of our revenue from renewal of existing contracts with our Medical Groups, Privia Providers, health system or hospital partners, ACO participants and payer customers. As part of our growth strategy, for instance, we have recently focused on expanding our revenue enhancement opportunities for Medical Groups such as our development of our virtual visits platform, our scribe program, and the opening of a centralized laboratory in our Mid-Atlantic market. As a result, achieving high customer retention rates and selling additional applications and services are critical to our future business, revenue growth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retention rate and our ability to sell additional solutions and services include, but are not limited to, the following:</w:t>
      </w:r>
    </w:p>
    <w:p>
      <w:pPr>
        <w:spacing w:after="0" w:line="13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the price, performance and functionality of our technology-enabled platform and technological solutions;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Privia Physician acceptance and adoption of new services and utilization of new revenue enhancing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price, performance and functionality of competing solutions;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develop, fairly price and sell complementary solutions and services to our Privia Physicians and payer customers;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the security, performance and stability of our technology-enabled platform, EMR, hosting infrastructure and hosting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applicable health care laws, regulations and trends;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the business environment of our Medical Groups, Privia Physicians, health system or hospital partners, ACO participants and payer customers.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typically enter into multiyear contracts with our Medical Groups, Privia Physicians, health system or hospital partners, ACO participants and payer customers, which often have a stated initial term of three years and automatically renew for successive one-year terms. From time to time, we may renegotiate or attempt to renegotiate contracts in the ordinary course of business prior to their applicable termination or expiration with certain of our counterparties, including as part of rate negotiations with payer customers. If our Medical Groups, Privia Physicians, health system or hospital partners, ACO participants and payer customers fail to renew their contracts, renew their contracts upon less favorable terms or at lower fee levels or fail to utilize additional products and services obtained from us, or if we fail to renegotiate contracts with our counterparties on favorable terms or at all, our revenue may decline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revenue growth may be constrained. Should any of our physician practices terminate their relationship with us after implementation has begun, we would not only lose our time, effort and resources invested in that implementation, but we would also have lost the opportunity to leverage those resources to build a relationship with other Privia Physicians over that same period of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expand our direct sales force and our business development staff will impede our growth.</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development of our direct sales force and its ability to obtain new Privia Physicians while our implementation team and practice consultants manage existing affiliate physician relationships. Additionally, we rely upon our business development staff to identify and develop potential relationships with new Medical Groups and health system or hospital partners in new geographical markets. Identifying and recruiting qualified personnel and training them requires significant time, expense and attention especially given the complexity of our business and the Privia operating model. It can take six months or longer before a new sales representative is fully trained and productive. Our business may be adversely affected if our efforts to expand and train our direct sales force and business development staff do not generate a corresponding increase in revenue. In particular, if we are unable to hire and develop sufficient numbers of productive direct sales and business development personnel or if new personnel are unable to achieve desired productivity levels in a reasonable period of time, our expected growth will be impeded.</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pricing may change over time and our ability to efficiently price the Privia Technology Solution and our Privia operating model will affect our results of operations and our ability to attract or retain Medical Groups, Privia Physicians, health system or hospital partners, ACO participants and commercial payer customers.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and administrative fees we charge our Medical Groups have generally been set as a percentage of the Non-Owned Medical Group’s FFS collections provided such an arrangement is allowed under state fee splitting laws. Florida, for instance, severely restricts percentage management fees and is structured as a fixed annual amount. Although subject to negotiation when a Privia Physician already receives care management fees, administrative fees or similar fees, from payers, Privia will typically retain such fees to offset their costs of providing population health services. In the past, we have allowed Privia Physicians to purchase additional services on an a la carte basis. While we determined these prices based on prior experience, the costs inputs associated with the services, and feedback from our Medical Groups, Privia Physicians, health system or hospital partners, ACO participants and payer customers, our assessments may not be accurate and we could be underpricing or overpricing the Privia Technology Solution and our operating model, which may require us to continue to adjust our pricing model. It is essential, however, that our prices remain competitive in the marketplace while providing a reasonable return on investment to allow us to economically provide such services. Additionally, such fees must generally be fair market value under federal and state fraud and abuse laws such as the Anti-Kickback Statute and the Stark Law. Furthermore, as our applications and services change, we may need to, or choose to, revise our pricing as our prior experience in those areas will be limited. Such changes to our pricing model or our inability to efficiently price our services could harm our business, results of operations, and financial condition and impact our ability to predict our future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the execution of our growth strategy, which may not prove viable and we may not realize expected results.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strategy is to grow rapidly by expanding our Privia Physicians in existing markets and building new Medical Groups in new geographical markets. New market growth is significantly dependent on partnering with anchor medical practices or health systems or hospitals in such new geographic markets. Likewise, our growth strategy is dependent on growing same-store sales for our Medical Groups by offering new revenue enhancing services, such as our virtual visit platform, assisting our Medical Groups in recruiting new patients, and partnering or contracting with commercial payers to enter new VBC arrangements on behalf of our Medical Groups. We seek growth opportunities both organically and through alliances with payers or other healthcare providers. Our ability to grow organically depends upon a number of factors, including how effectively we can execute our same-store sales growth strategies. We cannot guarantee that we will be successful in pursuing our growth strategy. If we fail to evaluate and execute new business opportunities properly, or if we have an adverse effect under one or more of our other “Risk Factors,” we may not achieve anticipated benefits and may incur increased costs.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growth strategy involves a number of risks and uncertainties, including that:</w:t>
      </w:r>
    </w:p>
    <w:p>
      <w:pPr>
        <w:spacing w:after="0" w:line="158" w:lineRule="exact"/>
        <w:rPr>
          <w:sz w:val="20"/>
          <w:szCs w:val="20"/>
          <w:color w:val="auto"/>
        </w:rPr>
      </w:pPr>
    </w:p>
    <w:p>
      <w:pPr>
        <w:jc w:val="both"/>
        <w:ind w:left="660" w:hanging="328"/>
        <w:spacing w:after="0" w:line="243" w:lineRule="auto"/>
        <w:tabs>
          <w:tab w:leader="none" w:pos="65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successfully enter into contracts with commercial payers on terms favorable to our Medical Groups or at all. In addition, we compete for payer relationships with other physician practices and intermediary entities such as non-Privia ACOs, independent physician associations (IPAs), physician hospital organizations (PHOs), etc., some of whom may have greater resources than we do. This competition may intensify due to the ongoing consolidation in the healthcare industry, which may increase our costs to pursue such opportunities;</w:t>
      </w:r>
    </w:p>
    <w:p>
      <w:pPr>
        <w:spacing w:after="0" w:line="127"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recruit or retain a sufficient number of new Medical Groups or Privia Physicians or patients to execute our growth strategy, and we may incur substantial costs to recruit Privia Physicians or new patients and we may be unable to recruit a sufficient number of Privia Physicians and/or new patients to offset those costs;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line="234" w:lineRule="auto"/>
        <w:tabs>
          <w:tab w:leader="none" w:pos="65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execute physician services agreements with a sufficient number of Privia Physicians and may fail to integrate new Privia Physicians, their support staff, or our employees into our operating model;</w:t>
      </w:r>
    </w:p>
    <w:p>
      <w:pPr>
        <w:spacing w:after="0" w:line="132"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when expanding our business into new markets, we may be required to comply with laws and regulations that may differ from states in which we currently operate and compliance with such laws may slow our expected growth or limit our potential market of available physicians; and</w:t>
      </w:r>
    </w:p>
    <w:p>
      <w:pPr>
        <w:spacing w:after="0" w:line="132"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18"/>
          <w:szCs w:val="18"/>
          <w:color w:val="auto"/>
        </w:rPr>
        <w:t>depending upon the nature of the new geographical market, we may not be able to fully implement our Privia operating model in every geographical market that we enter, which could negatively impact our revenues and financial condition.</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capitalize on growth opportunities, which may negatively impact our business model, revenues, results of operations and financial condition.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stakeholder service and patient satisfaction, or adequately address competitive challenges.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and may continue to experience, rapid growth and organizational change, which has placed, and may continue to place, significant demands on our management and our operational and financial resources. We may also seek growth opportunities through strategic acquisitions and partnerships. Additionally, our organizational structure may become more complex as we improve our operational, financial and management controls, as well as our reporting systems and procedures. We may require significant capital expenditures and the allocation of valuable management resources to grow and change in these areas. We must effectively increase our headcount and continue to effectively train and manage our employees. We will be unable to manage our business effectively if we are unable to alleviate the strain on resources caused by growth in a timely and successful manner. If we fail to effectively manage our anticipated growth, the quality of our services may suffer, which could negatively affect our brand and reputation and harm our ability to attract and retain Medical Groups, Privia Providers, patients and employees. If we fail to evaluate and execute new business opportunities properly, we may not achieve anticipated benefits and may incur increased costs.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we expand our business, it is important that we continue to maintain a high level of stakeholder service and satisfaction. As our Privia Physician base continues to grow, we will need to expand our populations health, patient services and other personnel, either through employment or contractual arrangements to provide personalized stakeholder service. If our Medical Groups are not able to continue to provide high quality cost effective healthcare services with high levels of patient satisfaction, our reputation, as well as our business, results of operations and financial condition could be adversely affected, including a failure to realize the benefits of any VBC arrangements.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Medical Groups and Privia Providers must be properly credentialed and enrolled in commercial payer plans and federal health care programs before our Medical Groups can receive reimbursement for their services, and there may be significant delays in the enrollment process.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time a new Privia Provider joins one of our Medical Groups or we partner with a new Medical Group, we must credential and enroll the new Privia Provider or Medical Group under our applicable group identification number for the Medicare and Medicaid programs and for certain commercial payer programs before the applicable Medical Group can receive reimbursement for healthcare services furnished by the new Privia Provider to beneficiaries or enrollees of those programs. The estimated time to receive approval for the enrollment is sometimes difficult to predict. Failure to timely or accurately complete necessary credentialing information, whether such fault lies with the new Privia Provider or us, results in delayed reimbursement that may adversely affect our cash flows and revenue.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Medicare, providers can retrospectively bill Medicare for services provided 30 days prior to the effective date of the enrollment so long as the individual Medicare enrollment application and assignment are correctly submitted. In addition, the enrollment rules provide that the effective date of the enrollment will be the later of the date on which the enrollment application was correctly filed and approved by the Medicare contractor, or the date on which the provider began furnishing healthcare services. If we are unable to properly enroll Privia Providers in a timely manner (at least 30 days after such provider begins furnishing patient care services), the affected Medical Group may be precluded from billing Medicare for any services which were provided to a Medicare beneficiary more than 30 days prior to the effective date of the enrollment. With respect to Medicaid, new enrollment rules and whether a state will allow providers to retrospectively bill Medicaid for services provided prior to submitting an enrollment application varies by state. Failure to timely enroll providers could reduce revenue to our Medical Groups and have a material adverse effect on the business, financial condition or results of our operations.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ACA, as currently structured, added additional enrollment requirements for Medicare and Medicaid, which have been further enhanced through implementing regulations and increased enforcement scrutiny. For example, every enrolled provider must revalidate its enrollment at regular intervals and must update the Medicare contractors and many state Medicaid programs with significant changes on a timely basis. CMS may also impose penalties upon providers who submit incomplete or inaccurate information or who have affiliations with other providers that CMS has determined pose undue risk of fraud, waste or abuse. If we fail to comply with these and other requirements to maintain our enrollment, Medicare and Medicaid could deny continued future enrollment or revoke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enrollment and billing privileges. Further, Medicare now subjects new locations at which physicians are furnishing services to Medicare beneficiaries to a location site visit to confirm enrollment information.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requirements for enrollment, licensure, certification, and accreditation may include notification or approval in the event of a transfer or change of ownership or certain other changes. Other agencies or commercial payers with which we have contracts may have similar requirements, and some of these processes may be complex. Failure to provide required notifications or obtain necessary approvals may result in the delay or inability to complete an acquisition or transfer, loss of licensure, lapses in reimbursement, or other penalties. While we make reasonable efforts to substantially comply with these requirements, we cannot assure you that the agencies that administer these programs or have awarded us contracts will not find that we have failed to comply in some material respects. A finding of non-compliance and any resulting payment delays, refund demands or other sanctions could have a material adverse effect on our business, financial condition or results of operations.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infrastructure, bandwidth providers, other third parties and our own systems to provide our technology-enabled platform to our Privia Physicians and their patients, and any failure or interruption in the services provided by these third parties or our own systems could expose us to litigation, result in a reduction of our management fees or the imposition of financial penalties on our management services organizations, and hurt our reputation and relationships with our Privia Physicians, our Medical Groups, and their patients.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maintain our technology-enabled platform, including our virtual health services, is dependent on the development and maintenance of the infrastructure of the internet and other telecommunications services furnished by third parties. This includes maintenance of a reliable network connection with the necessary speed, data capacity and security for providing reliable internet access and services and reliable telephone and facsimile services. Our platform is designed to operate without perceptible interruption in accordance with our service level commitments.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however, experienced limited interruptions in these systems in the past, including temporary slowdowns in the performance of our EMR and platform, and we may experience similar or more significant interruptions in the future. We rely on internal systems as well as third-party suppliers, including network and infrastructure equipment providers, to maintain our platform and related services. We do not currently maintain redundant systems or facilities for some of these services. Interruptions in these systems or services, whether due to system failures, cyber incidents, physical or electronic break-ins or other events, could affect the security or availability of our platform or services, including access to our EMR, patient scheduling, patient and Privia Physician portals, and prevent or inhibit the ability of our Privia Physicians and their patients to access our platform or services. In the event of a catastrophic event with respect to one or more of these systems or facilities, we may experience an extended period of system unavailability, which could result in substantial costs to remedy those problems or harm our relationship with our Privia Physicians and our business.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any disruption in the network access, telecommunications or co-location services provided by third-party providers or any failure of or by third-party providers’ systems or our own systems to handle current or higher volume of use could significantly harm our business. We exercise limited control over our third-party suppliers, which increases our vulnerability to problems with services they provide. Any errors, failures, interruptions or delays experienced in connection with these third-party technologies and information services or our own systems could hurt our relationships with our Medical Groups, Privia Physicians, patients, payers and other network participants, and expose us to third-party liabilities.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reliability and performance of our internet connection may be harmed by increased usage or by denial-of-service attacks or related cyber incidents. The services of other companies delivered through the internet have experienced a variety of outages and other delays as a result of damages to portions of the internet’s infrastructure, and such outages and delays could affect our systems and services in the future. These outages and delays could reduce the level of internet usage as well as the availability of the internet to us for delivery of our internet-based services. Any of the foregoing could harm our competitive position, business, financial condition, results of operations and prospects.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our Privia Physicians’ Affiliated Practices, which furnish certain support services on behalf of our Medical Groups, act as a business associate of their respective Medical Groups. In such capacity, they furnish certain services that support our platform, e.g., internet service access, modems, and computer hardware that access our EMR, and patient health information may, at times, reside on such hardware, including legacy servers. Although each legacy practice is obligated to furnish such services in compliance with HIPAA and state law, and to obtain cybersecurity insurance to cover any breaches or security incidents, a failure to comply with these obligations could result in the imposition of penalties against our Medical Groups as the covered entity under HIPAA. Further, such an incident could result in liability to the patient under state law and could damage our reputation among Privia Physicians and their patients all of which could adversely affect our business.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additional risks related to our technology-enabled platform, see “</w:t>
      </w:r>
      <w:r>
        <w:rPr>
          <w:rFonts w:ascii="Times New Roman" w:cs="Times New Roman" w:eastAsia="Times New Roman" w:hAnsi="Times New Roman"/>
          <w:sz w:val="18"/>
          <w:szCs w:val="18"/>
          <w:i w:val="1"/>
          <w:iCs w:val="1"/>
          <w:color w:val="auto"/>
        </w:rPr>
        <w:t>Security breaches, loss of data and other disruptions could compromise sensitive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related to our business or our patients, or prevent us from accessing critical information and expose us to liability, which could adversely affect our business, operations and our reputation.”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host and maintain our technology-enabled platform.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third-party vendors to host and maintain our technology-enabled platform. Our ability to offer our solutions and services and operate our business is dependent on maintaining our relationships with third-party vendors and entering into new relationships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meet the changing needs of our business. Any deterioration in our relationships with such vendors or our failure to enter into agreements with vendors in the future could harm our business and our ability to pursue our growth strategy. Because of the large amount of data that we collect and manage, it is possible that, despite precautions taken at our vendors’ facilities, the occurrence of a natural disaster, cyber incident, decision to close the facilities without adequate notice or other unanticipated problems could result in our non-compliance with privacy laws and regulations, loss of proprietary or personal information and in lengthy interruptions in our service. These service interruptions could also cause our platform to be unavailable to our Medical Groups, Privia Providers, patients and network members, and impair our ability to deliver solutions and services and to manage our relationships with new and existing Medical Groups, Privia Providers, patients and network members. We do, however, maintain redundancy with respect to the critical components of our platform.</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take steps to monitor the performance of third-party vendors, including in our agreements with such parties, but our oversight controls could prove inadequate. Since we do not fully control the actions of vendors and other third parties, including our Medical Groups and Privia Providers, we are subject to the risk that their decisions or operations adversely impact us and replacing such third-party vendors could create significant delay and expense. If these third-party vendors fail to satisfy their obligations to us or if they fail to comply with legal or regulatory requirements in a high-quality and timely manner, our operations and reputation could be compromised, we may not realize the anticipated economic and other benefits from these arrangements, and we could suffer adverse legal, regulatory and financial consequences. In addition, these third parties face their own technology, operating, business and economic risks, and any significant failures by them, including the improper use or disclosure of confidential Company information or failure to comply with applicable law, could cause harm to our reputation or otherwise expose us to liability.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and if such agreements are terminated, we may not be able to enter into similar relationships in the future on reasonable terms or at all. We may also incur substantial costs, delays and disruptions to our business in transitioning such services to ourselves or other third-party vendors. In addition, third-party vendors may not be able to provide the services required in order to meet the changing needs of our business or scale as quickly as we require. Any of the foregoing could harm our competitive position, business, financial condition, results of operations and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Privia Technology Solution may not operate properly, which could damage our reputation, give rise to claims against us or divert application of our resources from other purposes, any of which could harm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technology-enabled platform provides patients with the ability to, among other things, schedule services with our Privia Physicians and communicate and interact with providers, and it allows our Privia Providers to, among other things, streamline patient charting and identify gaps in care and conduct virtual visits (via video, phone or the internet). Proprietary software development is time-consuming, expensive and complex, and may involve unforeseen difficulties. We may encounter technical obstacles, and it is possible that we may discover additional problems that prevent our proprietary software from operating properly. We are currently implementing software with respect to a number of new applications and services. If our solutions do not function reliably or fail to achieve Medical Group, Privia Provider, or patient expectations in terms of performance, we may lose or fail to grow our Privia Providers and patients, could assert liability claims against us and our Medical Groups, and our Medical Groups, affiliate providers, health system partners, and ACO participants may attempt to cancel their relationships with us. This could damage our reputation and impair our ability to attract or maintain Medical Groups, Privia Physicians, patients and relationships with commercial payers.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our disaster recovery systems or management continuity planning could limit our ability to operate our business effectively.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and similar disruptions from unauthorized tampering, any weather-related disruptions or fires where our headquarters is located. In addition, in the event that a significant number of our management personnel were unavailable in the event of a disaster, our ability to effectively conduct business could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and litigation, including intellectual property and privacy disputes, which are costly to defend and could materially harm our business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in the past and may be party to lawsuits and legal proceedings in the future in normal course of business. These matters are often expensive and disruptive to normal business operations. We may face allegations, lawsuits and regulatory inquiries, audits and investigations regarding claim submission, supporting documentation for claimed reimbursement, coding for services furnished by our Privia Providers, data privacy, security, labor and employment, consumer protection and intellectual property infringement, misappropriation and other violations, including claims related to privacy, patents, publicity, trademarks, copyrights and other rights. We may also face allegations or litigation related to our acquisitions, securities issuances or business practices, including public disclosures about our business. Litigation and regulatory proceedings may be protracted and expensive, and the results are difficult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predict. Certain of these matters may include speculative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patients or geographies, all of which could negatively impact our geographical expansion and revenue growth. We may also become subject to periodic audits, which could increase our regulatory compliance costs and may require us to change our business practices, which could negatively impact our revenue growth. Managing legal proceedings, litigation and audits, even if we achieve favorable outcomes, is time-consuming and diverts management’s attention from our business. The results of regulatory proceedings,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our Medical Groups, Privia Providers, ACOs, management services organizations also may be subject to lawsuits under the FCA and comparable state laws for submitting allegedly fraudulent or otherwise inappropriate bills for services to the Medicare and Medicaid programs. These lawsuits, which may be initiated by government authorities as well as private party relators, which are often disgruntled employees or physicians, can involve significant monetary damages, fines, attorney fees and the award of bounties to private plaintiffs who successfully bring these suits, as well as to the federal health care programs. In recent years, government oversight and law enforcement have become increasingly active and aggressive in investigating and taking legal action against potential fraud and abuse especially in the health care industry.</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our business exposes our Medical Groups and Privia Providers to potential medical malpractice, professional negligence or other related actions or claims that are inherent in the provision of healthcare services. Our management services organizations and ACOs could also be subject to malpractice claims based upon an allegation that we limited medically necessary services or were otherwise negligent in setting incentives that were adverse to patient outcomes. These claims, with or without merit, could cause us to incur substantial costs, and could place a significant strain on our financial resources, divert the attention of management from our core business, harm our reputation and adversely affect our ability to attract and retain patients, any of which could have a material adverse effect on our business, financial condition and results of operations.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and our Medical Groups and Privia Providers maintain third-party professional liability insurance coverage, it is possible that claims against us may exceed the coverage limits of our insurance policies, or the particular claim could be excluded from coverage (for example, a tort claim or lack of patient consent claim).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effectively invest in, implement improvements to and properly maintain the uninterrupted operation, data integrity and security of our information technology and other business systems.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on maintaining effective information systems as well as the integrity and timeliness of the data we use to serve our Privia Providers’ patients, support our Privia Providers and care teams, monitor and manage our ACOs, monitor and manage, including reporting on behalf of, our management services organizations, and to otherwise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regard as significant. If our data were found to be inaccurate or unreliable due to fraud, corruption or other error, or if we, or any of the third-party service providers we engage, were to fail to maintain information systems and data integrity effectively, we could experience operational disruptions that may impact our Privia Physicians, Medical Groups, health system or hospital partners, patients and our commercial plan customers, as well as our compliance with reporting obligations under the Medicare program, Medicare Advantage plans and the MSSP, and commercial VBC arrangements, and hinder our ability to provide services, establish appropriate pricing for our services, retain and attract Medical Groups and Privia Physicians, manage VBC obligations, determine total cost of care and spend, establish appropriate reserves, report financial results timely and accurately, and maintain regulatory compliance, among other things.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information technology strategy and execution are critical to our continued success. We must continue to invest in long-term solutions that will enable us to anticipate our Medical Groups, Privia Providers, ACOs, and commercial payers’ needs and expectations, enhance both Privia Providers’ and patients’ experience, act as a differentiator in the market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services in a competitive manner. Further, because system development projects are long-term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results of operations, financial position and cash flow.</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depends, in part, on internally developed technology and content, including software, databases, confidential information and know-how, the protection of which is crucial to the success of our business. We rely on a combination of trademark, trade-secret, and copyright laws and confidentiality procedures and contractual provisions to protect our intellectual property rights in our internally developed technology and content and our brand. We may, over time, increase our investment in protecting our intellectual property through additional trademark, patent and other intellectual property filings that could be expensive and time-consuming to develop and maintain, both in terms of initial preparation and ongoing registration requirements and the costs of defending our rights. These measures, however, may not be sufficient to offer us meaningful protection. If we are unable to establish or protect our intellectual property and other rights,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From time to time, we seek to analyze our competitors’ services, and may in the future seek to enforce our rights against potential infringers. However, the steps we have taken to protect our intellectual property rights may not be adequate to prevent infringement, misappropriation or other violations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may result from changes to intellectual property legislation and from interpretations of intellectual property laws by applicable courts and agencies. In addition, advances in AI technology may exacerbate these risks, including the risk that existing intellectual property laws may not adequately protect against advances in AI technology, which may also give rise to a proliferation of infringement which we may not be able to address effectively, and the risk that the use of generative AI tools could result in us inadvertently disclosing trade secrets or other confidential information.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allege that we are infringing, misappropriating or otherwise violating their intellectual property rights and in some instances initiate formal legal proceedings, the outcome of which would be uncertain and could have a material adverse effect on our business,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depends on our ability to develop, commercialize and protect our technology-enabled platform, the Privia Technology Solution and the Privia operating model, and use our internally developed technology without infringing, misappropriating or otherwise violating the intellectual property or proprietary rights of third parties. Intellectual property disputes can be costly to defend, may divert management’s attention or resources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Additionally, in recent years, individuals and groups have begun acquiring intellectual property assets for the purpose of making claims of infringement and attempting to extract settlements from companies like ours. We may also face allegations that our employees have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misappropriated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or enforce our respective rights. We may not be able to successfully settle or otherwise resolve such adversarial proceedings or litigation. If we are unable to successfully settle future claims on terms acceptable to us, we may be required to defend such claims, regardless of their underlying merit, that can be time-consuming, divert management’s attention and financial resources and can be costly to evaluate and defend. Results of any such litigation are difficult to predict and may require us to stop commercializing or using our technology, obtain licenses, modify our services and technology while we develop non-infringing substitutes or incur substantial damages, settlement costs or face a temporary or permanent injunction prohibiting us from marketing or providing the affected services. If we require a third-party license, it may not be available on reasonable terms or at all, and we may have to pay substantial royalties, upfront fees or grant cross-licenses to intellectual property rights for our services. We may also have to redesign our services so they do not infringe, misappropriate or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 technology on reasonable terms or obtain similar technology from another source, our revenue and earnings could be adversely impacted.</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with respect to intellectual property. We are not currently subject to any claims from third parties asserting infringement of their intellectual property rights.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infringe, misappropriate or otherwise violate their intellectual property rights could therefore have a material adverse effect on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trade secrets, know-how and other internally developed information adequately. Although we use reasonable efforts to protect this internally developed information and technology, our employees, consultants, Privia Providers and other parties (including independent contractors and companies with which we conduct business) may unintentionally or willfully disclose our information or technology to competitors. Enforcing a claim that a third-party illegally disclosed or obtained and is using any of our internally developed information or technology is difficult, expensive and time-consuming, and the outcome is unpredictable. In addition, courts outside the United States are sometimes less willing to protect trade secrets, know-how and other proprietary information and the laws regarding such protections vary among jurisdictions. We rely, in part, on non-disclosure, confidentiality and assignment-of-invention agreements with our employees, independent contractors, and consultants with which we conduct business to protect our trade secrets, know-how and other intellectual property and internally developed information. However, we may fail to enter into such agreements with all of our employees, independent contractors, consultants, customers and other companies, and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upon licenses from third parties for some of the technology and data used in the Privia Technology Solution. We expect that we may need to obtain additional licenses from third parties in the future in connection with the development of our services. In addition, we obtain a portion of the data that we use from government entities, public records and from third parties for specific engagement and uses. We believe that we have all rights necessary to use the data that is incorporated into our services. We cannot, however, assure you that our licenses for information will allow us to use that information for all potential or contemplated applications. In addition, our ability to continue to offer integrated healthcare to our patients depends on maintaining our platform, which is partially populated with data disclosed to us by our partners with their consent. If these partners revoke their consent for us to maintain, use, de-identify and share this data, consistent with applicable law, our data assets could be degraded.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suitable alternative data suppliers and integrate these data sources into our service offerings, our ability to provide appropriate services to our Privia Physicians, Medical Groups, health system or hospital partners, patients, and commercial payer customers could be materially adversely impacted, which could have a material adverse effect on our business, financial condition and results of operations.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integrate into our internally developed applications and use third-party software to support our technology infrastructure. Some of this software is proprietary and some is open 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Our inability to obtain, maintain or comply with any of these licenses could delay development until equivalent technology can be identified, licensed and integrated, which could harm our business, financial condition and results of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third-party licenses are non-exclusive and our competitors may obtain the right to use any of the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 acquisition and maintenance costs. In addition, if our data suppliers choose to discontinue support of the licensed technology in the future, we might not be able to modify or adapt our own solutions.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services and subject us to possible 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our technology-enabled platform, the Privia Technology Solution and our Privia operating model.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use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Any requirement to disclose our internally developed source code or pay damages for breach of contract could have a material adverse effect on our business, financial condition and results of operations and could help our competitors develop services that are similar to or better than ours.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commercialization of our services that contained the open source software, engaged in costly redesign efforts, and required to comply with onerous conditions or restrictions on these services, which could disrupt the distribution of services.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services. Some open source projects have known vulnerabilities and architectural instabilities and are provided on an “as-is” basis, which, if not properly addressed, could negatively affect the performance of our platform. If we inappropriately use or incorporate open source software subject to certain types of open source licenses that challenge the proprietary nature of our technology-enabled platform and service, we may be required to re-engineer our platform, discontinue the commercialization of our platform or take other remedial actions, any of which could adversely impact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associated with our use of certain artificial intelligence and machine learning models.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utilizes artificial intelligence (AI) and machine learning technologies, to add AI-based applications to our offering and to drive efficiencies in our business. Further, certain of our third-party vendors utilize AI and machine learning technologies in furnishing services to us. As with many technological innovations, AI presents risks and challenges that could affect its adoption, and therefore our business. Our offerings utilize, and we plan to further examine, develop and introduce, machine learning algorithms, predictive analytics, and other AI technologies to offer new applications, upgrade our solutions and enhance our capabilities, among other things, to identify trends, anomalies and correlations, provide alerts and initiate business processes. If these AI or machine learning models are incorrectly designed, the performance of our products, services, and business, as well as our reputation, could suffer or we could incur liability through the violation of laws or contracts to which we are a party.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may make future investments in adopting AI and machine learning technologies across our business, including introducing generative AI capabilities within our Technology Platform Solution. AI and machine learning technologies are complex and rapidly evolving, and we face significant competition from other companies in our industry as well as an evolving regulatory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landscape. Our efforts in developing AI and machine learning technology may not succeed and our competitors may be able to deploy the technology faster. We may further be exposed to competitive risks related to the adoption and application of new technologies by established market participants or new entrants, and others. The speed of technological development may prove disruptive to some of our markets if we are unable to maintain the pace of innovation.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market acceptance of artificial intelligence and machine learning technologies is uncertain. These efforts, including the introduction of new products or changes to existing products, may result in new or enhanced governmental or regulatory scrutiny, litigation, ethical concerns, or other complications that could adversely affect our business, reputation, or financial results. Changes to existing regulations, their interpretation or implementation or new regulations could impede our use of AI and machine learning technology and also may increase our estimated costs in this area. In addition, market acceptance of AI and machine learning technologies is uncertain, and we may be unsuccessful in our product development efforts. Any of these factors could adversely affect our business, financial condition, and results of operations. To compete effectively we must also be responsive to technological change, potential regulatory developments, and public scrutiny.</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one or more of these employees or an inability to attract, recruit, motivate, develop and retain other highly skilled employees could harm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senior management team and other key employees. Employee attraction and retention may be difficult due to many factors, including fluctuations in economic and industry conditions; employee expectations; the effectiveness of our talent strategies and benefits and wellbeing programs, including compensation; and fluctuations in the labor market, including rising wages and competition for talent, which has increased due to persistent labor shortages and wage inflation. In addition, the shift to remote or hybrid work arrangements at many companies, including us, have significantly increased competition for highly-skilled personnel, who are no longer limited to opportunities within a particular geographic area. A lack of employee engagement, including as a result of working remotely, may reduce efficiency and productivity; increase turnover, burnout and absenteeism; and otherwise adversely affect our business and impede the achievement of our strategy. We rely on our leadership team in the areas of operations, provision of medical services, information technology and security, marketing, and general and administrative functions. From time to time, there may be changes to our management team resulting from the hiring or departure of executives or key employees, which could disrupt our business. Our employment agreements with our executive officers and other key personnel do not require them to continue to work for us for any specified period and, therefore, they could terminate their employment with us at any time. The loss of one or more of the members of our senior management team, or other key employees, could harm our business. Changes in our executive management team may also cause disruptions in, and harm to, our business. Furthermore, our business and results of operations could be adversely affected if we fail to adequately plan for and successfully carry out the succession of our key executives and senior leaders. For additional information, see “Human Capital Resources.”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Medical Groups are concentrated in Virginia, Maryland, the District of Columbia, Texas, Florida, and Georgia, and we may not be able to successfully establish a presence in new geographic markets.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portion of our revenue is driven by our medical practices in Virginia, Maryland, the District of Columbia, Texas, Florida, and Georgia. As a result, our exposure to many of the risks described herein are not mitigated by a diversification of geographic focus. Furthermore, due to the concentration of our operations in these states, our business may be adversely affected by economic conditions, natural disasters, contagious disease outbreaks, including COVID-19, political unrest, and other conditions over which we have no control that disproportionately affect these states as compared to other states. Such conditions could adversely affect our operating results and disrupt the operation of our Medical Groups and Privia Providers.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continue to expand our operations to other regions of the United States, we will have to devote resources to identifying and exploring such perceived opportunities. Thereafter, we will have to, among other things, recruit and retain qualified personnel, develop new Medical Groups and establish new relationships with physicians and other healthcare providers. In addition, we would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successfully expand our operations in any new geographic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overall business results may suffer from an economic downturn.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periods of high unemployment and inflation, governmental entities often experience budget deficits as a result of increased costs and lower than expected tax collections. These budget deficits at federal, state and local government entities have decreased, and may continue to decrease, spending for federal health care programs, including Medicare, Medicaid and similar programs, which represent significant payer sources for our Medical Groups. Other risks we face during periods of high unemployment include potential declines in the patient base, potential increases in the uninsured and underinsured populations, which could negatively impact our payer mixes, a contracting of discretionary spending by our patient base, which could negatively affect demand for the services of our Privia Physicians, and further difficulties in our collecting patient co-payment and deductible receivables.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qualified personnel, including non-physician clinicians, in order to execute our growth plan.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Competition for highly qualified personnel with healthcare experience is intense and changes in the labor market have increased such competition while increasing pressure on wage growth to retain our existing personnel. We and our Medical Groups have, from time to time, experienced, and we expect to continue to experience, difficulty in hiring and retaining employees with appropriate qualifications at acceptable salary ranges. Further, Privia Physicians may have similar difficulty in hiring and retaining support staff. Many of the companies and healthcare providers with which we compete for experienced personnel have greater resources than we have. If we hire employees from competitors or other companies or healthcare providers, their former employees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adversely affected. Further, such scarcity and demand can significantly drive up labor costs associated with hiring and retaining highly qualified personnel, which could negatively affect our results of operations, financial condition and cash flows.</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additional risks related to attracting and retaining highly qualified personnel, see “</w:t>
      </w:r>
      <w:r>
        <w:rPr>
          <w:rFonts w:ascii="Times New Roman" w:cs="Times New Roman" w:eastAsia="Times New Roman" w:hAnsi="Times New Roman"/>
          <w:sz w:val="18"/>
          <w:szCs w:val="18"/>
          <w:i w:val="1"/>
          <w:iCs w:val="1"/>
          <w:color w:val="auto"/>
        </w:rPr>
        <w:t>We depend on our senior management team and other key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loss of one or more of these employees or an inability to attract, recruit, motivate, develop and retain other highly skilled employees could harm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 holders could lead to disparities of wealth among our employees, which could adversely impact relations among employees and our culture in general.</w:t>
      </w:r>
    </w:p>
    <w:p>
      <w:pPr>
        <w:spacing w:after="0" w:line="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For additional risks related to our corporate culture, see “</w:t>
      </w:r>
      <w:r>
        <w:rPr>
          <w:rFonts w:ascii="Times New Roman" w:cs="Times New Roman" w:eastAsia="Times New Roman" w:hAnsi="Times New Roman"/>
          <w:sz w:val="18"/>
          <w:szCs w:val="18"/>
          <w:i w:val="1"/>
          <w:iCs w:val="1"/>
          <w:color w:val="auto"/>
        </w:rPr>
        <w:t>We depend on our senior management team and other key employees, and the loss of one or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these employees or an inability to attract, recruit, motivate, develop and retain other highly skilled employees could harm our business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certain of our vendors do not meet our needs, if there are material price increases on vendor services and products, if we do not price our services correctly, if our Medical Groups are not reimbursed or adequately reimbursed for the costs of any vendor services or products borne by such Medical Groups, or if we are unable to effectively access new or replacement services or products, it could negatively impact our ability to effectively provide the services we offer and could have a material adverse effect on our business, results of operations, financial condition and cash flows.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vendors that may be the sole or primary source of certain services, products or technology critical to the services either we or our Privia Providers furnish, or to which we have committed obligations to make purchases, sometimes at particular prices. If any of these vendors do not meet our needs for the services or products they supply, including in the event of a product recall, shortage or dispute, and we are not able to find adequate alternative sources, if we experience material price increases from these vendors that we are unable to mitigate, or if the costs of some of the products or services that we purchase are borne by our Medical Groups and such Medical Groups are not reimbursed or not adequately reimbursed for such products or services, it could have a material adverse effect on our business, results of operations, financial condition and cash flows. In addition, the technology related to the services or products critical to the services we provide is subject to new developments that may result in superior products. If we are not able to access new or replacement services or products on a cost-effective basis or if vendors are not able to fulfill our requirements for such services or products, or unable to scale as fast as our operations grow, we could face Privia Physician attrition and other negative consequences which could have a material adverse effect on our business, results of operations, financial condition and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risks related to our third-party vendors, see </w:t>
      </w:r>
      <w:r>
        <w:rPr>
          <w:rFonts w:ascii="Times New Roman" w:cs="Times New Roman" w:eastAsia="Times New Roman" w:hAnsi="Times New Roman"/>
          <w:sz w:val="18"/>
          <w:szCs w:val="18"/>
          <w:i w:val="1"/>
          <w:iCs w:val="1"/>
          <w:color w:val="auto"/>
        </w:rPr>
        <w:t>“We rely on third-party vendors to host and maintain our technology-enabled platform.”</w:t>
      </w:r>
    </w:p>
    <w:p>
      <w:pPr>
        <w:spacing w:after="0" w:line="11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With respect to any Medicare Advantage plans with which our Medical Groups participate, our records and submissions to such plans may contain inaccurate or unsupportable information regarding risk adjustment scores of such plans’ enrollees, which could cause us to overstate or understate the average health care burden of such population, which could result in an incorrect statement of our revenue and could subject us and our Medical Groups to various penalties.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submit claims and encounter data, on behalf of our participating Medical Groups, to applicable Medicare Advantage plans that are used to establish the annual, average Medicare Risk Adjustment Factor, or RAF, scores attributable to each Medical Group’s Medicare Advantage population. These RAF scores determine, in part, the revenue to which the health plans and, in turn, our Medical Groups are entitled for the provision of medical care to such population. CMS has made significant changes to the structure of its Hierarchical Condition Categories (HCC) codes, Version 28 (V28), which will likely result in</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lower Risk Adjustment Factor (RAF) scores in 2024 for our Medical Groups entering into new Medicare Advantage agreements. The data submitted to CMS by each health plan is based, in part, on medical charts and diagnosis codes that our Privia Providers prepare and we submit to the health plans. Each health plan generally relies on us and our Privia Providers to appropriately document and support such RAF data in our medical records. Each health plan also relies on us and our Privia Providers to appropriately code claims for medical services provided to members. Erroneous claims and erroneous encounter records and submissions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damage our relationship with the applicable health plan and could have a material adverse effect on our business, results of operations, financial condition and cash flows.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CMS audits Medicare Advantage plans for documentation to support RAF-related payments for enrollees chosen at random. The Medicare Advantage plans ask providers to submit the underlying documentation for members that they serve. It is possible that claims associated with members with higher RAF scores could be subject to more scrutiny in a CMS or plan audit. There is a possibility that a Medicare Advantage plan may seek repayment from us, our ACOs, or our Medical Groups should CMS make any payment adjustments to the Medicare Advantage plan as a result of its audits. CMS has indicated that payment adjustments will not be limited to RAF scores for the specific MA enrollees for which errors are found but may also be extrapolated to the entire MA plan subject to a particular CMS contract. Based on a final rule issued by CMS in January 2023, although 2011 to 2017 plan years are still subject to audit, overpayments to MA plans that are identified as a result of a Risk Adjustment Data Validation, or RADV, audit will only be subject to extrapolation for plan year 2018 and any subsequent plan year. In addition, CMS will not apply an adjustment factor, known as Fee-For-Service, or FFS, Adjuster in RADV audits to account for potential differences in diagnostic coding between the Medicare Advantage program and Medicare FFS program. Although we are continuing to assess the potential impact this final rule may have on our business and operations, such adjustments could adversely affect our revenue, financial conditions and results of operations. .</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we may face civil and criminal liability under healthcare fraud and abuse laws, including, without limitation, the False Claims Act. By way of example, in 2018, the Department of Justice, or the DOJ, reached a $270 million settlement agreement with HealthCare Partners Holdings, LLC based upon the organization’s internal coding policies and provider education that resulted in the submission of inappropriate diagnosis codes, and the inappropriate capture of historical diagnoses both of which inflated the organization’s RAF scores and resulted in inflated payment rates. The DOJ alleged that such submissions constituted a civil False Claims Act violation. In August 2021, Sutter Health agreed to pay $90 million to resolve allegations that it violated the False Claims Act by knowingly submitting inaccurate information about health status of beneficiaries enrolled in Medicare Advantage plans and entered into a five-year Corporate Integrity Agreement with the OIG. More recently, in September 2023, the Cigna Group agreed to pay $172 million to settle False Claims Act allegations arising from its chart review program whereby it allegedly added diagnosis codes to its Medicare Advantage enrollees, thereby increasing RAF scores without removing diagnosis codes which were no longer applicable or supported by the chart review.</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a Medicare Advantage plan in which our Medical Groups participate will not be randomly selected or targeted for review by CMS or that the outcome of such a review will not result in a material adjustment in our revenue and profitability, even if the information we submitted to the plan is accurate and supportable. Further, although we have built safeguards in our provider education efforts and unreported diagnoses review, there can be no assurance that the CMS, the DOJ, the OIG, or a whistleblower would not allege such action constitutes a civil False Claims Act violation or, if pursued that we could successfully defend against such allegation. In such event, even if we successfully defend against it, such an allegation could cause us to incur significant legal expenses, divert our management’s attention from the operation of our business and result in adverse publicity.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our total addressable market, or TAM, are inaccurate, our future growth rate may be impacted and our business could be harmed.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estimates and growth forecasts are subject to significant uncertainty and are based on assumptions and estimates that may not prove to be accurate. The estimates and forecasts in this report relating to the size and expected growth of the TAM for available physicians with which our Medical Groups can affiliate may prove to be inaccurate. Even if the markets in which we compete meet our size estimates and forecasted growth, our business could fail to grow at similar rates, if at all.</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assumptions relating to our determination of the TAM includes determining the total number of physicians in the geographic market reduced by hospital employed physicians and other Privia Physicians in the market that are unlikely to change their existing relationships. This calculation may not take into account physicians who are not currently available because of an exclusive arrangement with an intermediary entity or because the physician is locked out of moving while awaiting payment pursuant to a VBC arrangement. In addition to a sufficiently large TAM to allow us to affiliate with a sufficiently large number of physicians to make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economically viable, each market is evaluated to determine if there is sufficient reimbursement variation in fee schedules paid by commercial payers to physicians to create sufficient economic opportunity to allow such physicians to embrace our Privia operating model. Our targeted TAM is also based on the assumption that the strategic approach that our solution enables for potential Privia Physicians will be more attractive to our available physicians than many competing opportunities. If these assumptions prove inaccurate, our business, financial condition and results of operations could be adversely affected.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funds made available under the CARES Act by our Medical Groups and Privia Physicians’ Affiliated Practices could adversely affect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Privia Physicians and/or their Affiliated Practices may have outstanding loan obligations under the Paycheck Protection Program implemented pursuant to the Coronavirus Aid, Relief, and Economic Security Act, or the CARES Act. Although we are not liable for such loan amounts, our Privia Physicians’ inability to either have such loan amounts forgiven or pay such loan amounts could negatively impact our business, including due to responding to Privia Physician bankruptcy filings and, potentially, federal seizure of assets, including federal health care program funds, which could include funds owing to us, such as management fees. Although our claims to such amounts may ultimately be released, the cost of collections could increase from our standard business model, which will negatively affect both our revenue and profits.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Paycheck Protection Program affiliation rules, none of our Owned Medical Groups (as opposed to our Privia Physicians’ Affiliated Practices) borrowed any amounts under the program. One of the Non-Owned Medical Groups did partake in the Paycheck Protection Program, but the outstanding balance has already been forgiven. Likewise, none of our Medical Groups partook of CMS’ Accelerated and Advance Payment Programs under the CARES Act. Each of our Medical Groups did, however, accept funds distributed by HHS under the Provider Relief Fund enacted as part of the CARES Act. Given that each of our Medical Groups received in excess of $10,000 under the Provider Relief Fund, each Medical Group is subject to HHS’ reporting requirements for the use of such funds. Two of our Owned Medical Groups are subject to heightened reporting requirements for providers receiving more than $500,000 from the Provider Relief Fund. Independent audits were conducted to provide assurance that the Owned Medical Groups’ receipt of funds from HHS Provider Relief Fund and the American Rescue Plan followed the requirements of the statutes, regulations and the terms and conditions of the awards. It was filed in accordance with the requirements of the Consolidated Appropriations Act of 2021 and additional guidance issued by HHS. Although continued reporting obligations exist for these Owned Medical Groups, the amount of funds distributed for such periods will no longer be subject to the single audit requirements. The Owned Medical Groups will continue to have obligations regarding maintenance of documentation of such records and costs, and remain potentially subject to additional audits by HHS, the OIG, and the Pandemic Response Accountability Committee.</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recipient identified as providing inaccurate information will be subject to recoupment and deliberate omission, misrepresentation or falsification of any information associated with such reporting may be punishable by criminal, civil or administrative penalties, including but not limited to revocation of Medicare billing privileges, exclusion from federal health care programs, and/or the imposition of fines, civil damages and/or imprisonment. The law relative to the Provider Relief Fund as well as guidance from HHS continues to evolve and we cannot say definitively whether HHS will agree with our assessment that funds were appropriately utilized by the Owned Medical Groups. In the event that such funds were used inappropriately or revenue losses were insufficient, it would be necessary to reimburse HHS for Provider Relief Funds received by our Owned Medical Groups, which would have a material adverse effect on our business, financial condition, and operations. Further, a failure to adequately report and maintain records related to the use of amounts from the Provider Relief Funds could have a materially adverse effect on our business, financial condition and the results of operations.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 information, including health-related information, is subject to HIPAA, other federal and state privacy and security regulations, and contractual obligations, and our actual or perceived failure to comply with those regulations or contractual obligations could result in significant liability or reputational harm and, in turn, a material adverse effect on our patient base and revenue.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Numerous state and federal laws and regulations govern the collection, dissemination, use, privacy, confidentiality, security, availability, integrity, and other processing of PHI and personal information.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HIPAA requires covered entities, like us, our Owned or Non-Owned Medical Groups, and their business associates to develop and maintain policies and procedures with respect to PHI that is used or disclosed, including the adoption of administrative, physical and technical safeguards to protect such information. Our Medical Groups may be all participants in an “Affiliated Covered Entity” or an “Organized Health Care Arrangement” under HIPAA, which groups of legally separate covered entities that consider themselves a single covered entity due to affiliation, some common control or ownership, or through clinical integration and/or care coordination. Participation in an affiliated covered entity or an organized health care arrangement allows us to share certain HIPAA compliance efforts but also provides for joint and several liability for HIPAA violations among all the participants in the Affiliated Covered Entity. In addition to our status as a covered entity, our management services organizations and ACOs may also be “business associates” to our Medical Groups and ACO participants.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a complaint about privacy practices or an audit by the U.S.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website. Breaches affecting 500 patients or more in the same state or jurisdiction must also be reported to the local media. If a</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breach involves fewer than 500 people, the covered entity must record it in a log and notify HHS at least annually.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include, among other things, requirements surrounding information blocking, changes to ONC’s health IT certification program and requirements that CMS regulated payers make relevant claims/care data and provider directory information available through standardized patient access and provider directory application programming interfaces, or APIs, that connect to provider electronic health record systems, or EHRs. The companion rules will transform the way in which healthcare providers, health IT developers, health information exchanges/health information networks, or HIEs/HINs, and health plans share patient information, and create significant new requirements for healthcare industry participants. For example, the ONC rule, which went into effect on April 5, 2021, prohibits healthcare providers, health IT developers of certified health IT, and HIEs/HINs from engaging in practices that are likely to interfere with, prevent, materially discourage, or otherwise inhibit the access, exchange or use of electronic health information, or EHI, also known as “information blocking.” To further support access and exchange of EHI, the ONC rule identifies eight “reasonable and necessary activities” as exceptions to information blocking activities, as long as specific conditions are met. Any failure to comply with these rules could have a material adverse effect on our business, results of operations and financial condition.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Numerous other federal and state laws and regulations protect the confidentiality, privacy, availability, integrity and security of PHI and other types of personal information. State statutes and regulations vary from state to state, and these laws and regulations in many cases are more restrictive than HIPAA and its implementing rules. These laws and regulations are often uncertain, contradictory, and subject to changed or differing interpretations, and we expect new laws, rules and regulations regarding privacy, data protection, and information security to be proposed and enacted in the future. For example, the</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 Consumer Privacy Act of 2018, as amended (the “CCPA”) affords consumers certain privacy protections and rights. California residents have the right to request that a business delete their personal information unless it is necessary for the business to maintain for certain purposes, to direct a business to correct errors in their personal information, and to limit the use and disclosure of sensitive information. They have the right to know if their personal information is being sold or shared and the right to opt out of the “sale” or “sharing” of personal information, as those terms are defined under the</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CCPA. The California Privacy Rights Act creates a new regulator responsible for enforcement of the CCPA, and the CCPA provides for civil penalties for violations, as well as a private right of action for data breaches that may increase data breach litigation. Additional states have passed and will continue to pass comprehensive privacy legislation with privacy protections and rights, and several additional privacy bills have been proposed both at the federal and state level that may result in additional legal requirements of their own that impact our business. Failure to comply with these and any other comprehensive privacy laws passed at the state or federal level may result in regulatory enforcement action and damage to our reputation. The potential effects of such legislation are far-reaching and may require us to modify our data processing practices and policies and to incur substantial costs and expenses to comply. Further, in the event that new data privacy or security laws are implemented that impact our operations or patients,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may afford private rights of action to individuals who believe their personal information has been misused. This complex, dynamic legal landscape regarding privacy, data protection, and information security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creates significant compliance issues for us and potentially restricts our ability to collect, use and disclose data and exposes us to additional expense,</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adverse publicity and liability. In the event that we are subject to or affected by the CCPA or other domestic privacy and data protection laws, any liability from failure to comply with the requirements of these laws could adversely affect our financial condition.</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Further, in July 2023, the FTC and the U.S. Department of Health and Human Services' Office for Civil Rights (“OCR”) cautioned hospitals and telehealth providers about the privacy and security risks related to the use of online tracking technologies integrated into their websites or mobile apps that may be impermissibly be disclosing consumers’ sensitive personal health data to third parties.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technology-enabled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The success of any of these unauthorized attempts could substantially impact our technology-enabled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have implemented data privacy and security measures in an effort to comply with applicable laws, regulations, and contractual obligations relating to privacy and data protection, some PHI and other personal information or confidential information is transmitted to us by third parties, who may not implement adequate security and privacy measures. Additionally, we transmit PHI and other personal information or confidential information to third parties, which carries the risk of breach despite our security and privacy measures. Moreover, it is possible that laws, rules and regulations relating to privacy, data protection, or information security may be interpreted and applied in a manner that is inconsistent with our practices or those of third parties who transmit PHI and other personal information or confidential information to us. Further, any PHI or other personal information residing with a Privia Physicians’ legacy practice entity pursuant to our Support Services Agreement with such entity may not be subject to adequate security and privacy measures, which may result in a breach of its Business Associate Agreement, or BAA, with the relevant covered entity. Although a business associate may be independently found liable for a breach of the privacy or security requirements of HIPAA, we could also be held liable for such breach as the covered entity. If we or any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publish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and could result in adverse publicity that could harm our business. Any of the foregoing consequences could have a material adverse impact on our business and our financial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(“the Code”), a corporation that undergoes an “ownership change” is subject to limitations on its ability to utilize its pre-change NOLs to offset future taxable income or taxes. A Code Section 382 ownership change generally occurs if one or more stockholders or groups of stockholders who own at least 5% of a corporation’s stock increase their ownership by more than 50 percentage points over their lowest ownership percentage within a rolling three-year period. Similar rules may apply under state tax laws. As of December 31, 2023, we had approximately $89.0 million of federal and $63.7 million of state (post-apportioned state NOL) NOL carryforwards. The federal NOL carryforwards for years before 2018 begin to expire in 2034 and the state NOL carryforwards begin to expire in 2034. Changes in the ownership of our stock in the future, including as a result of future offerings, and some of which are outside of our control, could result in an ownership change under Section 382 of the Code (or applicable state law) after such date, which could significantly limit our ability to utilize our existing and future NOL carryforwards arising at any time prior to such ownership change.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obligated to maintain proper and effective internal control over financial reporting in order to comply with Section 404 of the Sarbanes-Oxley Act. If we fail to maintain effective internal control over financial reporting, we may not be able to accurately report our financial results or report them in a timely manner, which may adversely affect investor confidence in us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Reporting obligations as a public company place a considerable strain on our financial and management systems, processes and controls, as well as on our personnel.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Section 404(b) requires our independent registered public accounting firm to issue an annual report that addresses the effectiveness of our internal control over financial reporting. Our compliance with Section 404(a) has required to incur substantial expenses and expend significant management efforts.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identify material weaknesses in our internal control over financial reporting in the future,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relating to our business, industry, Medical Groups or Privia Providers may have a material adverse effect on our financial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negatively affected if another company in our industry, or if one of our Medical Groups or Privia Providers, engages in practices that subject our industry or business to negative publicity. Negative publicity may result from judicial inquiries, unfavorable outcomes in lawsuits, social media, regulatory or governmental actions with respect to our services. Negative publicity may cause increased regulation and legislative scrutiny of industry practices as well as increased litigation or enforcement action by civil and criminal authorities. Additionally, negative publicity may increase our costs of doing business and adversely affect our profitability by impeding our ability to market our services, constraining our ability to price our services appropriately for the risks we are assuming, requiring us to change the services we offer or increasing the regulatory burdens under which we operate.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additional risks related to negative publicity of our Medical Groups or Privia Providers, see “</w:t>
      </w:r>
      <w:r>
        <w:rPr>
          <w:rFonts w:ascii="Times New Roman" w:cs="Times New Roman" w:eastAsia="Times New Roman" w:hAnsi="Times New Roman"/>
          <w:sz w:val="18"/>
          <w:szCs w:val="18"/>
          <w:i w:val="1"/>
          <w:iCs w:val="1"/>
          <w:color w:val="auto"/>
        </w:rPr>
        <w:t>If we are not able to maintain and enhance our reputation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brand recognition, including through the maintenance and protection of trademarks, our business and results of operations will be harmed.” and “If we cannot timely implement the Privia Technology Solution for Privia Physicians and new Medical Groups, or resolve Privia Provider and patients concerns, including any technical and billing issues, in a timely manner, we may lose Medical Groups, Privia Providers and their patients, and our reputation may be harmed.”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attention to, and evolving expectations for, environmental, social, and governance (“ESG”) initiatives could increase our costs, harm our reputation, or otherwise adversely impact our business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ESG and sustainability practices. Expectations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To the extent ESG matters negatively impact our reputation, it may also impede our ability to compete as effectively to attract and retain employees, which may adversely impact our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expect there will likely be increasing levels of regulation, disclosure-related and otherwise, with respect to ESG matters. For example, the SEC has published proposed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Increasingly, different stakeholder groups have divergent views on sustainability and ESG matters, which increases the risk that any action or lack thereof with respect to sustainability or ESG matters will be perceived negatively by at least some stakeholders and adversely impact our reputation and business. Anti-ESG sentiment has gained some momentum across the United States, with several states having enacted or proposed “anti-ESG” policies or legislation. If we do not successfully manage ESG-related expectations across stakeholders, it could erode stakeholder trust, impact our reputation, and adversely affect our business.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there was no amount outstanding under our Revolving Credit Facility and $125.0 million of borrowing availability under our Revolving Credit Facility.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indebtedness and the cash flow needed to satisfy our debt have important consequences, including:</w:t>
      </w:r>
    </w:p>
    <w:p>
      <w:pPr>
        <w:spacing w:after="0" w:line="158" w:lineRule="exact"/>
        <w:rPr>
          <w:sz w:val="20"/>
          <w:szCs w:val="20"/>
          <w:color w:val="auto"/>
        </w:rPr>
      </w:pPr>
    </w:p>
    <w:p>
      <w:pPr>
        <w:ind w:left="660" w:right="2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making us more vulnerable to rising interest rates;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of indebtedness may place us at a competitive disadvantage to our competitors that are not as highly leveraged. Fluctuations in interest rates can increase borrowing costs. Such increases in interest rates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refinance our indebtedness.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refinance all or a portion of our indebtedness before maturity. We cannot assure you that we will be able to refinance any of our indebtedness on commercially reasonable terms or at all. There can be no assurance that we will be able to obtain sufficient funds to enable us to repay or refinance our debt obligations on commercially reasonable terms, or at all.</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Revolving Credit Agreement restrict our current and future operations, particularly our ability to respond to changes or to take certain actions.</w:t>
      </w:r>
    </w:p>
    <w:p>
      <w:pPr>
        <w:sectPr>
          <w:pgSz w:w="11900" w:h="16838" w:orient="portrait"/>
          <w:cols w:equalWidth="0" w:num="1">
            <w:col w:w="11240"/>
          </w:cols>
          <w:pgMar w:left="320" w:top="121"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Revolving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7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indebtedness or other contingent obligations;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create liens;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make investments, acquisitions, loans and advances;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consolidate, merge, liquidate or dissolve;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sell, transfer or otherwise dispose of our assets;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pay dividends on our equity interests or make other payments in respect of capital stock;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materially alter the business we conduct.</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restrictive covenants in the Revolving Credit Agreement require us to satisfy certain financial condition tests as described in Item 7 - Management’s Discussion and Analysis. Our ability to satisfy those tests can be affected by events beyond our control.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breach of the covenants or restrictions under the Revolving Credit Agreement could result in an event of default under such document. Such a default may allow the creditors to accelerate the related debt, which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9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Times New Roman" w:cs="Times New Roman" w:eastAsia="Times New Roman" w:hAnsi="Times New Roman"/>
          <w:sz w:val="18"/>
          <w:szCs w:val="18"/>
          <w:color w:val="auto"/>
        </w:rPr>
        <w:t>limited in how we conduct our business;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ability to incur additional indebtedness, force us to maintain specified liquidity or other ratios or restrict our ability to pay dividends or make acquisitions. In addition, the covenants in our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10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18"/>
          <w:szCs w:val="18"/>
          <w:color w:val="auto"/>
        </w:rPr>
        <w:t>develop and enhance our patient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expand our organization;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18"/>
          <w:szCs w:val="18"/>
          <w:color w:val="auto"/>
        </w:rPr>
        <w:t>hire, train and retain employees;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18"/>
          <w:szCs w:val="18"/>
          <w:color w:val="auto"/>
        </w:rPr>
        <w:t>pursue acquisition opportunities.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if we issue additional equity to raise capital, your interest in us will be diluted.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since we are no longer an “emerging growth company.”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incur legal, accounting and other expenses that we did not previously incur as a privately held company. We are subject to the reporting requirements of the Securities Exchange Act of 1934, as amended (the “Exchange Act”), and certain requirements under the Sarbanes-Oxley Act, the listing requirements of NASDAQ and other applicable securities rules and regulations. Compliance with these rules and regulations have increased our legal and financial compliance costs, made some</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activities more difficult, time-consuming or costly and increased demand on our systems and resources. We will continue to experience such increased costs and challenges particularly because we are no longer an “emerging growth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These additional obligations could have a material adverse effect on our business, financial condition and results of operations.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and the Delaware General Corporation Law (the “DGCL”) contain provisions that could make it more difficult for a third-party to acquire us, even if doing so might be beneficial to our shareholders. Among other things, these provisions:</w:t>
      </w:r>
    </w:p>
    <w:p>
      <w:pPr>
        <w:spacing w:after="0" w:line="108" w:lineRule="exact"/>
        <w:rPr>
          <w:sz w:val="20"/>
          <w:szCs w:val="20"/>
          <w:color w:val="auto"/>
        </w:rPr>
      </w:pPr>
    </w:p>
    <w:p>
      <w:pPr>
        <w:jc w:val="both"/>
        <w:ind w:left="660" w:hanging="328"/>
        <w:spacing w:after="0" w:line="239"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prohibit shareholder action by written consent and shareholder special meetings as well as permit removal of directors only for cause;</w:t>
      </w:r>
    </w:p>
    <w:p>
      <w:pPr>
        <w:spacing w:after="0" w:line="143"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any amendment, alteration, rescission or repeal of our amended and restated bylaws by our shareholders will require the affirmative vote of the holders of at least 66.6% in voting power of all the then-outstanding shares of our stock entitled to vote thereon, voting together as a single class; and</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shareholders at shareholder meetings.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a provision that provides us with protections similar to Section 203 of the DGCL, and will prevent us from engaging in a business combination with a person unless board or shareholder approval is obtained prior to the acquisition.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exclusive forum for certain litigation that may be initiated by our shareholders, which may limit our shareholders’ ability to obtain a favorable judicial forum for disputes with us.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unless we consent in writing to the selection of an alternative forum, the Court of Chancery of the State of Delaware is the sole and exclusive forum for (1) any derivative action or proceeding brought on our behalf, (2) any action asserting a claim of breach of a fiduciary duty owed by any of our directors, officers or other employees to us or our shareholders,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 The forum selection clause in our amended and restated certificate of incorporation may have the effect of discouraging lawsuits against us or our directors and officers and may limit our shareholders’ ability to obtain a favorable judicial forum for disputes with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and the market price of our common stock may drop below the price you pay.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9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market conditions in our industry or the broader stock market;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introduction of new solutions or services by us or our competitors;</w:t>
      </w:r>
    </w:p>
    <w:p>
      <w:pPr>
        <w:spacing w:after="0" w:line="103"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sales, or anticipated sales, of large blocks of our stock;</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or departures of key personnel;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regulatory or political developments;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litigation and governmental investigations;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changing economic conditions;</w:t>
      </w:r>
    </w:p>
    <w:p>
      <w:pPr>
        <w:spacing w:after="0" w:line="89"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us or our competitors;</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investors’ perception of us;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events beyond our control such as weather and war including the ongoing conflict between Russia and Ukraine and Israel and Palestine and other global conflicts;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any default on our indebtedness.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the trading market for our shares may be subject to increased volatility.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outstanding shares could cause the market price of our common stock to drop significantly, even if our business is doing well.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have occurred and could occur at any time. These sales, or the perception in the market that the holders of a large number of shares intend to sell shares, could reduce the market price of our common stock. All of our common stock sold pursuant to an offering covered by a registration statement, including common stock sold by stockholders rather than the Company, will be freely transferable. In addition, shares of our common stock issued or issuable under our equity incentive plans to employees and directors have been registered on a Form S-8 registration statement and may be</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freely sold in the public market upon issuance, except for shares held by affiliates who have certain restrictions on their ability to sell. The market price of our stock could decline if the holders of our shares of common stock sell them or are perceived by the market as intending to sell them.</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common stock.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For additional information, see “Dividend Policy.”</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if they adversely change their recommendations regarding our shares or if our results of operations do not meet their expectations, our stock price and trading volume could decline.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shares will be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106(b) Cybersecurity Risk Management and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Security Risk Management and Strategy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approach to risk management is designed to identify, assess, prioritize and manage major risk exposures that could affect our ability to execute our corporate strategy and fulfill our business objectives. As part of our comprehensive Enterprise Risk Management (“ERM”) program, we perform risk assessments in which we map and prioritize information security risks identified through the processes described below, including risks associated with our use of third-party vendors, Medical Groups, Privia Providers and Affiliated Practices, based on probability, immediacy and potential magnitude. These assessments inform our ERM strategies and oversight processes, and we view cybersecurity risks as one of the key risk categories we face. For example, our information technology and infrastructure may be vulnerable to cyberattacks (including ransomware attacks) or security incidents, and unauthorized third parties may be able to access our sensitive information, which includes protected health information, personal information, payment information, financial information and other data that is subject to laws and regulations, including without limitation the Health Insurance Portability and Accountability Act of 1996, as amended (HIPAA), the Payment Card Industry Data Security Standard and the Sarbanes-Oxley Act of 2002, as amended, and other types of personal information, relating to our employees, our Privia Providers’ patients and others. For more information regarding the information security-related risks we face, see the information in “Item 1A - Risk Factors” under the caption “Security breaches, loss of data and other disruptions could compromise sensitive information related to our business or our patients, or prevent us from accessing critical information and expose us to liability, which could adversely affect our business, operations and our reputation.” of this Annual Report on Form 10-K.</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processes for assessing, identifying and managing information security risks and vulnerabilities are embedded across our business as part of our ERM program. Among other things, we regularly engage with internal and external cybersecurity assessors, consultants and auditors to enhance our cybersecurity risk management strategies, review compliance with evolving standards and evaluate the effectiveness and maturity of our controls and perform regular internal and external risk assessments including those required by HIPAA; provide annual mandatory privacy and security training program for all employees; perform technical testing and penetration testing to validate the effectiveness of our cybersecurity program; perform simulated breach testing and tabletop exercises to simulate responses to information security incidents. We have established processes to oversee and manage risks associated with our third-party service providers, including regular security assessments and compliance reviews. We use the findings from these and other processes to improve our information security practices, procedures and technologies. Our Cybersecurity Incident Response Plan (</w:t>
      </w:r>
      <w:r>
        <w:rPr>
          <w:rFonts w:ascii="Times New Roman" w:cs="Times New Roman" w:eastAsia="Times New Roman" w:hAnsi="Times New Roman"/>
          <w:sz w:val="18"/>
          <w:szCs w:val="18"/>
          <w:u w:val="single" w:color="auto"/>
          <w:color w:val="auto"/>
        </w:rPr>
        <w:t>CSIRP</w:t>
      </w:r>
      <w:r>
        <w:rPr>
          <w:rFonts w:ascii="Times New Roman" w:cs="Times New Roman" w:eastAsia="Times New Roman" w:hAnsi="Times New Roman"/>
          <w:sz w:val="18"/>
          <w:szCs w:val="18"/>
          <w:color w:val="auto"/>
        </w:rPr>
        <w:t>) includes processes to detect triage, assess severity for, escalate, contain, investigate and resolve information security incidents, as well as to comply with applicable legal obligations and mitigate brand and reputational damage. In addition, we maintain cyber liability insurance to protect against potential losses arising from an information security incident.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Security Governance and Oversight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(“Board”) is responsible for overseeing risk management at Privia and, as part of this responsibility, the Board, assisted by its committees, exercises oversight over our ERM program which is designed and implemented by management. As part of its broader risk oversight activities, the Board oversees risks from information security threats, both directly and through the Audit Committee of the Board (Audit Committee) and Compliance Committee of the Board (Compliance Committee). As reflected in its charter, the Compliance Committee is responsible for reviewing data security programs, including cybersecurity and procedures regarding disaster recovery and critical business continuity. The Compliance Committee is also responsible for reviewing Privia’s programs and plans established by management to monitor compliance with data security compliance programs and test preparedness. The Audit Committee also assists our Board in fulfilling its oversight responsibilities with respect to risk management in the areas of internal control over financial reporting, disclosure controls and procedures, and legal and regulatory compliance, and discusses with management policies and practices with respect to risk assessment and risk management.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element of its ERM oversight activities, the Compliance Committee regularly reviews the significant risk exposures or potential compliance violations and the steps that have been taken to monitor, correct and mitigate such potential violations or risks. The Compliance Committee reports to the Audit Committee at each regularly scheduled meeting of the Audit Committee on the substance of these reviews and discussions. The Audit Committee also reviews the Company’s policies and practices with respect to risk assessment and risk management. Both committees report to the full Board at every regularly scheduled Board meeting. Our Board meets with our Chief Executive Officer and President and other members of the senior management team at quarterly meetings of our Board, where, among other topics, they discuss strategy and risks facing the Company, as well as at such other times as they deem appropriate.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addition, each year the Compliance Committee receives quarterly reports from the </w:t>
      </w:r>
      <w:r>
        <w:rPr>
          <w:rFonts w:ascii="Times New Roman" w:cs="Times New Roman" w:eastAsia="Times New Roman" w:hAnsi="Times New Roman"/>
          <w:sz w:val="18"/>
          <w:szCs w:val="18"/>
          <w:u w:val="single" w:color="auto"/>
          <w:color w:val="auto"/>
        </w:rPr>
        <w:t>CISO</w:t>
      </w:r>
      <w:r>
        <w:rPr>
          <w:rFonts w:ascii="Times New Roman" w:cs="Times New Roman" w:eastAsia="Times New Roman" w:hAnsi="Times New Roman"/>
          <w:sz w:val="18"/>
          <w:szCs w:val="18"/>
          <w:color w:val="auto"/>
        </w:rPr>
        <w:t xml:space="preserve"> and Privacy Officer on information security risks, including cybersecurity or privacy events, relevant information about the cybersecurity threat landscape, and updates 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strategy and any potential issues. In addition, the full Board receives briefings on information security risks at a minimum annually from the CISO.</w:t>
      </w:r>
    </w:p>
    <w:p>
      <w:pPr>
        <w:spacing w:after="0" w:line="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CISO, who leads our information security team, is responsible for day-to-day identification, assessment and management of the information security risks we face. The CISO provides monthly information security updates to a cross-functional team of executive leaders, who together prioritize risks and risk mitigation activities and develop a culture of risk-aware practices. The CISO has held executive technology leadership roles within health systems and physician groups for over 15 years, including Chief Technology Officer, Chief Information Officer, and Chief Information Security Officer. The information security team works in conjunction with our IT leadership team to align operations and technology developments with cybersecurity program objectives. We believe the IT leadership team is sufficiently experienced and qualified in its role of assessing and managing information security risks across the business.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have established a Cybersecurity Incident Response Team (</w:t>
      </w:r>
      <w:r>
        <w:rPr>
          <w:rFonts w:ascii="Times New Roman" w:cs="Times New Roman" w:eastAsia="Times New Roman" w:hAnsi="Times New Roman"/>
          <w:sz w:val="18"/>
          <w:szCs w:val="18"/>
          <w:u w:val="single" w:color="auto"/>
          <w:color w:val="auto"/>
        </w:rPr>
        <w:t>CSIRT</w:t>
      </w:r>
      <w:r>
        <w:rPr>
          <w:rFonts w:ascii="Times New Roman" w:cs="Times New Roman" w:eastAsia="Times New Roman" w:hAnsi="Times New Roman"/>
          <w:sz w:val="18"/>
          <w:szCs w:val="18"/>
          <w:color w:val="auto"/>
        </w:rPr>
        <w:t>), which is responsible for responding to cybersecurity incidents and maintaining a CSIRP that is regularly updated in response to organizational changes, technical changes, changes to the threat landscape or in response to active or previous cybersecurity incidents. The CSIRT is responsible for responding to cybersecurity incidents and maintaining a CSIRP that is regularly updated in response to organizational changes, technical changes, changes to the threat landscape or in response to active or previous cybersecurity incidents, including monitoring the prevention, detection, mitigation, and remediation of cybersecurity incidents. The CSIRT is comprised of the CISO and other key members of management, including the Privacy Officer, Chief Technology Officer, Chief Audit and Compliance Officer, General Counsel and other members of management and our technical response teams as necessary to appropriately respond to an incident, including mitigation and remediation of an incident. We maintain processes for managing incident assessment and internal escalation.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ordinary-course Board and Compliance Committee reporting and oversight described above, we also maintain disclosure controls and procedures designed for prompt reporting to the Board and timely public disclosure, as appropriate, of material events covered by our risk management framework, including information security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headquarters are located in Arlington, Virginia. Our lease on this space expires on September 30, 2026. We have also leased space for our other offices throughout the United States. We believe that our headquarters and other offices are adequate for our immediate needs and that additional or substitute space is available if needed to accommodate growth and expansion.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including medical malpractice and consumer claims.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“PRVA” since April 29, 2021. Prior to that, there was no public trading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close of business on February 23, 2024, there were approximately 19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 -</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and related information shows a comparison of the cumulative total return for our common stock, Russell 2000 Index, and NASDAQ Health Care Index between April 28, 2021 (the date our common stock commenced trading on the NASDAQ) through December 31, 2023. All values assume an initial investment of $100 and reinvestment of any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837555" cy="4603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7555" cy="46031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4/28/2021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0" w:type="dxa"/>
            <w:vAlign w:val="bottom"/>
          </w:tcPr>
          <w:p>
            <w:pPr>
              <w:spacing w:after="0"/>
              <w:rPr>
                <w:sz w:val="1"/>
                <w:szCs w:val="1"/>
                <w:color w:val="auto"/>
              </w:rPr>
            </w:pPr>
          </w:p>
        </w:tc>
      </w:tr>
      <w:tr>
        <w:trPr>
          <w:trHeight w:val="449"/>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3/31/2022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449"/>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3/31/2023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6/30/2023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9/30/2023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0" w:type="dxa"/>
            <w:vAlign w:val="bottom"/>
          </w:tcPr>
          <w:p>
            <w:pPr>
              <w:spacing w:after="0"/>
              <w:rPr>
                <w:sz w:val="1"/>
                <w:szCs w:val="1"/>
                <w:color w:val="auto"/>
              </w:rPr>
            </w:pPr>
          </w:p>
        </w:tc>
      </w:tr>
      <w:tr>
        <w:trPr>
          <w:trHeight w:val="23"/>
        </w:trPr>
        <w:tc>
          <w:tcPr>
            <w:tcW w:w="580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 xml:space="preserve">Privia Health Group, Inc.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8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NASDAQ Health Care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$100 invested on April 28, 2021 in shares and in indices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above shall not be deemed “soliciting material” or to be “filed” for purposes of Section 18 of the Securities Exchange Act of 1934,as amended, or otherwise subject to the liabilities under that section, and shall not be incorporated by reference into any of our other filings under the Securities Exchange Act of 1934, as amended, or the Securities Act of 1933, as amended, regardless of any general incorporation language in those filings.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 2021, we completed our IPO pursuant to a Registration Statement (File No. 333-255086), which was declared effective on April 28, 2021. The Registration Statement registered an aggregate of 22,425,000 shares of our common stock at an aggregate offering price of $515.8 million. In the offering, we sold 5,725,000 shares of common stock at an aggregate offering price of $131.7 million and our majority stockholder sold 16,700,000 shares of our common stock at an aggregate offering price of $384.1 million. The number of shares sold by us included the full exercise of the underwriters’ option to purchase up to an additional 2,925,000 shares of common stock from us. Goldman Sachs &amp; Co. LLC and J.P. Morgan Securities LLC acted as representatives of the underwriters for the offering. The offering commenced on April 26, 2021 and did not terminate before all of the securities registered in the Registration Statement were sold.</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received net proceeds of approximately $211.0 million from the IPO and Anthem private placement after deducting underwriters’ discounts and commissions of $7.9 million and expenses of $4.8 million payable by us. We used a portion of the net proceeds from the IPO to voluntarily prepay approximately $33.1 million of indebtedness and accrued interest under the Term Loan Facility in June 2022.</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changes noted above, there have been no material changes in the planned use of proceeds from the IPO from those that were described in the final prospectus filed pursuant to Rule 424(b) under the Securities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accompanying notes included elsewhere in this Annual Report on Form 10-K. In addition, the following discussion and analysis and information contains forward-looking statements about the business, operations and financial performance of the Company based on our current expectations that involve risks, uncertainties and assumptions. Our actual results could differ materially from those anticipated by these forward-looking statements as a result of many factors. including, but not limited to, those identified below and those discussed in the sections titled “Risk Factors” and “Information Regarding Forward-Looking Statements” in this Annual Report on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on the “Privia Platform”. We directly address three of the most pressing issues facing physicians today: the transition to the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with significant local autonomy for Privia Providers joining our Medical Groups. Our Medical Groups are designated as in-network by all major health insurance payers in all of our markets and all Privia Providers are credentialed with such health insurance payers.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our standard model, Privia Physicians join the Medical Group in their geographic market as an owner of the Medical Group. Certain of our Medical Groups are Owned Medical Groups, with Privia Physicians owning a minority interest. However, in those markets in which state regulations do not allow us to own physician practices, the Medical Groups are Non-Owned Medical Groups or Friendly Medical Groups. Privia Physicians who owned their own practices prior to joining Privia continue to own their Affiliated Practices, but those Affiliated Practices no longer furnish healthcare services. The Medical Groups have no ownership in the underlying Affiliated Practices, but the Affiliated Practices do provide certain services to our Medical Groups, such as use of space, non-physician staffing, equipment and supplies.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management services to each Medical Group through a local MSO established with the objective of maximizing the independence and autonomy of our Affiliated Practices, while providing Medical Groups with access to VBC opportunities either directly or through Privia-owned ACOs.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 and the owned ACOs.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Financial Measures</w:t>
      </w:r>
    </w:p>
    <w:p>
      <w:pPr>
        <w:spacing w:after="0" w:line="121" w:lineRule="exact"/>
        <w:rPr>
          <w:sz w:val="20"/>
          <w:szCs w:val="20"/>
          <w:color w:val="auto"/>
        </w:rPr>
      </w:pPr>
    </w:p>
    <w:p>
      <w:pPr>
        <w:ind w:left="900" w:hanging="2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$1,657.7 million, $1,356.7 million and $966.2 million for the years ended December 31, 2023, 2022 and 2021, respectively.</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(loss) was $20.6 million, $(19.1) million and $(217.4) million for the years ended December 31, 2023, 2022 and 2021, respectively; and</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10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attributable to Privia Health Group, Inc. was $23.1 million, $(8.6) million and $(188.2) million for the years ended December 31, 2023,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21" w:lineRule="exact"/>
        <w:rPr>
          <w:sz w:val="20"/>
          <w:szCs w:val="20"/>
          <w:color w:val="auto"/>
        </w:rPr>
      </w:pPr>
    </w:p>
    <w:p>
      <w:pPr>
        <w:ind w:left="900" w:hanging="244"/>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 Collections was $2.84 billion, $2.42 billion and $1.63 billion for the years ended December 31, 2023, 2022 and 2021, respectively;</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 Margin was $359.2 million, $305.6 million and $238.4 million for the years ended December 31, 2023, 2022 and 2021, respectively;</w:t>
      </w:r>
    </w:p>
    <w:p>
      <w:pPr>
        <w:spacing w:after="0" w:line="117"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89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Contribution was $173.5 million, $148.5 million and $107.6 million for the years ended December 31, 2023, 2022 and 2021, respectively;</w:t>
      </w:r>
    </w:p>
    <w:p>
      <w:pPr>
        <w:spacing w:after="0" w:line="5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$72.2 million, $60.9 million and $41.4 million for the years ended December 31, 2023, 2022 and 2021, respectively.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“Key Metrics and Non-GAAP Financial Measures” for more information as to how we define and calculate Implemented Providers, Attributed Lives, Practice Collections, Care Margin, Platform Contribution, Platform Contribution Margin, Adjusted EBITDA and Adjusted EBITDA Margin, and for a reconciliation of gross profit, the most comparable GAAP measure, to Care Margin, gross profit, the most comparable GAAP measure, to Platform Contribution, and net income (loss), the most comparable GAAP measure, to Adjusted EBITDA.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revenue from multiple stakeholders, including health care consumers, health insurers, employers, providers and health systems. Our revenue includes (i) FFS revenue generated from providing healthcare services to patients through Privia Providers of Owned Medical Groups or administrative fees collected for providing administrative services to Non-Owned Medical Groups, (ii) VBC revenue collected on behalf of our providers, primarily capitated revenue, shared savings (including surplus payments, shared savings, total cost of care budget payments and similar payments) and per member per month (PMPM) fees (including care management fees, management services fees, care coordination fees and all other similar administrative fees), and (iii) other revenue from additional services, such as concierge services, virtual visits, virtual scribes and coding.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FFS-patient care revenue when we collect reimbursements for FFS medical services provided by Privia Providers. Our agreements with our providers have a multi-year term length and we have historically experienced a 96% provider retention rate, both of which lead to a highly predictable and recurring revenue model. Our FFS contracts with payer partners typically contain annual rate inflators and enhanced commercial FFS rates given our scale in each of our markets. As a result of receiving these rate inflators and enhancements, if we continue to be successful in expanding our provider base, we expect revenue will grow year-over-year in absolute dollars. In addition, in our FFS-patient care revenue, we include collections generated from ancillary services such as clinical laboratory, imaging and pharmacy operations. We also generate FFS-administrative services revenue by providing administration and management services to medical groups which are not owned or consolidated by us. FFS-patient care revenue represented 58.9%, 64.1% and 79.9% of total revenue for the years ended December 31, 2023, 2022 and 2021, respectively. FFS-administrative services revenue represented 6.8%, 7.0% and 7.1% of total revenue for the years ended December 31, 2023, 2022 and 2021,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VBC Revenue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time, we create incremental value for our provider partners by enabling them to succeed in VBC arrangements. We generate VBC revenue when our providers are reimbursed through traditional FFS Medicare, MSSP, Medicare Advantage, commercial payers and other existing and emerging direct payer and employer contracting programs. Given recent regulatory and utilization headwinds in Medicare Advantage, the Company is currently renegotiating certain capitation agreements for more favorable contract structures with potential, positive contribution margin, which the Company expects would move approximately 19,900 attributed lives from capitated revenue, which is recorded on a gross basis, to shared savings revenue, which is recorded on a net basis. The revenue is primarily collected in the form of (i) Capitated revenue earned by providing healthcare service to Medicare Advantage attributed beneficiaries for a defined group of services including professional, institutional and pharmacy through a contract that is typically known as an “at-risk contract”, (ii) Shared savings earned based on improved quality and lower cost of care for our attributed lives in VBC incentive arrangements and (iii) Care management fees to cover costs of services typically not reimbursed under traditional FFS payment models, including population management, care coordination, advanced technology and analytics. VBC revenue represented 33.8%, 28.5% and 12.4% of total revenue for the years ended December 31, 2023, 2022 and 2021,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remainder of our revenue is derived from leveraging our existing base of providers and patients to deliver value-oriented services such as virtual visits, virtual scribes and coding. Other revenue represented 0.5%, 0.4% and 0.6% of total revenue for the years ended December 31, 2023,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 of New Providers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our provider base will enable us to deliver financial growth as our providers generate both our FFS and VBC revenue. Our existing provider relationships and market share provides us with significant opportunity to grow in both existing and new geographies, and we believe the number of providers joining Privia is a key indicator of the market’s recognition of the attractiveness of our platform to our providers, patients and payers. We intend to increase our provider base in existing and new markets by adding new practices and assisting our existing practices with recruiting new providers, using our in-market and national sales and marketing teams. As we add providers to the Privia Platform, we expect them to contribute incremental economics as we leverage our existing brand and infrastructure, both at the corporate and in-market levels.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 of New Patients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add new patients to our provider base in existing and new markets will also enable us to deliver revenue growth in both our FFS and VBC contracts. We believe the number of attributed patient lives in VBC programs is a key driver of our VBC revenue growth. Our branding and marketing strategies to drive growth in our practices has continued to result in increased engagement with new and existing patients. We believe our continued success in growing the visibility of the Privia brand will result in increased patient panels per provider and contribute incremental revenue in both FFS and VBC for our practices.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to New Markets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upon our experience to date, we believe Privia can succeed in all reimbursement environments and payment models. The data we collected from older provider cohorts consistently suggest that we improve their performance in both FFS and VBC metrics over time and inform our expectations for our new markets. We believe our in-market operating structure and ability to serve providers wherever they are on their transition to VBC can benefit physicians and providers throughout the U.S. and that our solution is applicable across all 50 states. We enter a market with an asset-light operating model and employ a disciplined, uniform approach to market structure and development. We partner with market leading medical groups and health systems to form anchor relationships and align other independent, affiliated, or employed providers into a single-TIN medical group. Our business model also gives us flexibility for future, incremental growth through the acquisition of minority or majority stakes in our practices and opening de-novo, fully-owned sites of care focused on Medicare Advantage and direct contracting models.</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2023, we announced a partnership with Beebe Healthcare, a not-for-profit community healthcare system located in Sussex County, Delaware, to launch an ACO in that state. However, we have notified CMS that our ACO in the Delaware market will terminate its participation in MSSP effective January 1, 2024.</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February 2023, we announced a partnership with Community Medical Group, the largest Clinically Integrated Network (“CIN”) in Connecticut with approximately 1,100 multi-specialty providers, to launch Privia Quality Network of Connecticut (“PQN-CT”). We acquired a majority ownership in PQN-CT. During the three months ended March 31, 2023 we recorded Goodwill of $8.1 million in connection with the acquisition, which represents the excess of the purchase price over the fair value of the net assets acquired.</w:t>
      </w:r>
    </w:p>
    <w:p>
      <w:pPr>
        <w:spacing w:after="0" w:line="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2023, the Company announced signing of definitive agreements forming a strategic partnership with OhioHealth, a nationally recognized, not-for-profit, charitable, healthcare outreach of the United Methodist Church, to launch Privia Medical Group – Ohio for community physicians throughout the state of Ohio.</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the Company launched Privia Medical Group Washington in affiliation with Walla Walla Clinic, an independent multi-specialty group practice with more than 50 providers and 3 care center locations.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launched Privia Medical Group South Carolina in affiliation with Greenville ENT and Allergy Associates, an independent specialty group practice.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Provider Satisfaction and Retention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Privia Providers have high satisfaction with their overall performance on our platform, and we strive to continuously improve provider well-being and patient satisfaction. Our percentage of collections model combined with high patient and provider satisfaction results in 90%+ Practice Collections predictability on a rolling twelve month forward basis. We believe these metrics demonstrate the stability of our provider base and the appeal to prospective providers and patients of our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Payer Contracts and Ability to Move Markets to VBC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FFS and VBC revenue is dependent upon our contracts and relationships with payers. We partner with a large and diverse set of payer groups nationally and in each of our markets to form provider networks and to lower the overall cost of care, and we structure bespoke contracts to help both providers and payers achieve their objectives in a mutually aligned manner. Maintaining, supporting and increasing the number of these contracts and relationships, particularly as we enter new markets, is important for our long-term success. We typically enter into multiyear contracts with our Medical Groups, Privia Physicians, health system or hospital partners, ACO participants and payer customers, which often have a stated initial term of three years and automatically renew for successive one-year terms. From time to time, we may renegotiate or attempt to renegotiate our payer contracts in the ordinary course of business prior to the expiration of their stated terms. If the counterparties fail to renew their contracts, renew their contracts upon less favorable terms or at lower fee levels or fail to utilize additional products and services obtained from us, or if we fail to renegotiate contracts with our counterparties on favorable terms or at all, our revenue may decline and our future revenue growth may be constrained.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work within each geographic market as it evolves in its shift towards VBC, with our experience working in all reimbursement environments, enables providers to accelerate and succeed in their transition. Our model is aligned with our payer partners, as we have demonstrated improved patient outcomes while driving incremental revenue growth. We intend to accelerate the move towards the adoption of VBC reimbursement in each market in current and emerging payer programs. To do so, we will need to continue enhancing our VBC capabilities and executing on initiatives to deliver next generation access, superior quality metrics and lower cost of care.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Privia Health launched three new ACOs in the first quarter of 2023, expanding the total number of Privia-owned ACOs to ten, serving beneficiaries across the District of Columbia and eleven states, including California, Connecticut, Delaware, Florida, Georgia, Maryland, Montana, North Carolina, Tennessee, Texas, and Virginia.</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and 2023, we entered into capitated payer arrangements. The Company is currently renegotiating certain capitation agreements for more favorable contract structures with potential, positive contribution margin, which the Company expects would result in our capitated agreements covering healthcare services provided to approximately 16,000 Medicare Advantage beneficiaries, compared to approximately 35,900 MA capitated lives at year-end 2023, effective as of January 1, 2024. Capitated revenue is generated through what is typically known as an “at-risk contract.” At-risk capitation refers to a model in which the Company is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entitled to fixed monthly fees from the third-party payer in exchange for providing healthcare services to attributed beneficiaries in Medicare Advantage plans. The fees are typically based on a percentage of the defined premium that payers receive from CMS. The Company is responsible for providing or paying for the cost of healthcare services required by those attributed beneficiaries. At-risk capitated fees are recorded gross in revenues because the Company is acting as a principal in arranging for, providing, and controlling the managed healthcare services provided to the attributed beneficiaries.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Revenue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FFS revenue is primarily dependent upon the size of our provider base, payer contracted rates and patient volume. Our ability to maintain or improve pricing levels in our contracts with payers and patient volume for our providers will impact our results of operations. In addition to increasing our provider base and contracted rates over time, we also seek to increase patient volume by demonstrating the ability to provide a better patient experience that leads to higher retention rates and drives referrals to preferred, high quality and value-based providers. Our VBC revenue is primarily dependent upon the number of attributed patients in our VBC arrangements, risk levels of our payer contracts, and effective management of our patients’ total cost of care. As we grow our provider base, we also expect to increase our total number of attributed patients in existing and new markets. In addition, we intend to increase the risk levels of our value-based programs as we seek a higher revenue opportunity on a per patient basis over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focusing on long-term growth through investments in our sales and marketing, our technology-enabled platform, and our operations. In addition, as we continue our efforts to move markets toward VBC, we expect to continue making additional investments in operations for an expanded suite of clinical capabilities to manage our patient population.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launched Privia Care Partners on January 1, 2022 to offer a more flexible affiliation model for providers who do not desire to join one of our medical groups. This model aggregates providers in certain of our existing markets as well as new markets who are looking solely for VBC solutions without the necessity of changing EHR providers. We furnish population health services, reporting and analytics to such providers along with a menu of management services from which providers may choose. During 2023, several Privia Care Partners’ providers transitioned to our Privia Medical Group model, which demonstrates the flexibility of our operating model and technology platform, as well as the ability to support physicians wherever they are in their transition value-based care. As of January 1, 2024, approximately 1,350 providers with approximately 200,000 attributed lives are participating in the Privia Care Partners model.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 and 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and non-GAAP financial measures, to evaluate our business, measure our performance, identify trends affecting our business, formulate our business plans, and make strategic decisions.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Implemented Providers (as of end of period)</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Attributed Lives (in thousands) (as of end of period)</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Practice Collections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 in millions)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w:t>
            </w:r>
          </w:p>
        </w:tc>
      </w:tr>
    </w:tbl>
    <w:p>
      <w:pPr>
        <w:spacing w:after="0" w:line="127" w:lineRule="exact"/>
        <w:rPr>
          <w:sz w:val="20"/>
          <w:szCs w:val="20"/>
          <w:color w:val="auto"/>
        </w:rPr>
      </w:pPr>
    </w:p>
    <w:p>
      <w:pPr>
        <w:ind w:right="320" w:firstLine="8"/>
        <w:spacing w:after="0" w:line="255" w:lineRule="auto"/>
        <w:tabs>
          <w:tab w:leader="none" w:pos="165"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Implemented Providers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Implemented Providers as the total of all service professionals on Privia Health’s platform at the end of a given period who are credentialed by Privia Health and bill for medical services, in both Owned and Non-Owned Medical Groups during that period. This includes, but is not limited to, physicians, physician assistants, and nurse practitioners. We believe that growth in the number of Implemented Providers is a key indicator of the performance of our business and expected revenue growth. This growth depends, in part, on our ability to successfully add new practices in existing markets and expand into new markets. The number of Implemented Providers increased 19.4% between December 31, 2022 and 2023 mainly due to due to organic growth in our healthcare delivery business as well as entrance into the Connecticut, Washington state and South Carolina markets. Implemented Providers increased 8.7% between 2021 and 2022, due to the entrance into the Montana market and a full year of operations in the West Texas and California markets.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Attributed Lives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Attributed Lives as any patient that a payer deems attributed to Privia to deliver care as part of a value-based care arrangement through a provider of primary care services as of the end of a particular period. The number of Attributed Lives is an important measure that impacts the amount of VBC revenue we receive. Attributed Lives increased 30.8% between December 31,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2022 and 2023 due primarily to our entrance into the Connecticut and Washington state markets as well as organic growth. Attributed Lives increased 8.9% between 2021 and 2022, due to the launch of Privia Care Partners in January 2022, as well as organic growth in all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Practice Collections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adding collections from Non-Owned Medical Groups both in FFS and VBC arrangements. FFS arrangements accounted for 76.5%, 79.1% and 91.2% of our practice collections for the years ended December 31, 2023, 2022 and 2021, respectively, while VBC accounted for 23.2%, 20.6% and 8.5% of practice collections for the years ended December 31, 2023, 2022 and 2021,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Practice Collections increased 17.1% for the year ended December 31, 2023 when compared to the same period in 2022 due mainly to organic growth of our healthcare delivery business, our at-risk Capitated revenue contracts and entrance into the Connecticut and Washington state markets and increased 49.1% between 2021 and 2022 due to organic growth of our healthcare delivery business, new at-risk Capitated revenue contracts, as well as a full year of operation in the West Texas and California markets and entrance into the Montana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Care Margin, Platform Contribution, Platform Contribution Margin, Adjusted EBITDA and Adjusted EBITDA Margin are useful as non-GAAP measures to investors as these are metrics used by management in evaluating our operating performance and in assessing the health of our business. We use Care Margin, Platform Contribution, Platform Contribution Margin, Adjusted EBITDA and Adjusted EBITDA Margin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 on any single financial measure to evaluate our business</w:t>
      </w:r>
      <w:r>
        <w:rPr>
          <w:rFonts w:ascii="Arial" w:cs="Arial" w:eastAsia="Arial" w:hAnsi="Arial"/>
          <w:sz w:val="21"/>
          <w:szCs w:val="21"/>
          <w:color w:val="auto"/>
        </w:rPr>
        <w:t>.</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third quarter of 2022, we changed the definition of Adjusted EBITDA to exclude employer taxes on equity vesting/exercise. In prior periods, this amount was considered de minimis and the Adjusted EBITDA amounts were not adjusted. Employer payroll tax expense related to employee stock transactions are tied to the vesting or exercise of underlying equity awards and the price of our common stock at the time of vesting, which varies in amount from period to period and is dependent on market forces that are often beyond our control. As a result, management excludes this item from our internal operating forecasts and models. Management believes that non-GAAP measures adjusted for employer payroll taxes on employee stock transactions provide investors with a basis to measure our core performance against the performance of other companies without the variability created by employer payroll taxes on employee stock transactions as a result of the stock price at the time of employee exercise.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for percentages)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Care Margin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359,164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305,620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238,393</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Platform Contribution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173,481</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148,540</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107,550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Platform Contribution Margin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72,228</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60,852</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41,377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bl>
    <w:p>
      <w:pPr>
        <w:jc w:val="both"/>
        <w:ind w:left="20" w:right="20" w:firstLine="6"/>
        <w:spacing w:after="0" w:line="210" w:lineRule="auto"/>
        <w:tabs>
          <w:tab w:leader="none" w:pos="184"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below for more information as to how we define and calculate Care Margin, Platform Contribution, Platform Contribution Margin, Adjusted EBITDA and Adjusted EBITDA Margin and for a reconciliation of Gross Profit, the most comparable GAAP measure, to Care Margin, Gross Profit the most comparable GAAP measure, to Platform Contribution, and net income (loss), the most comparable GAAP measure, to Adjusted EBITDA.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 Margin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define Care Margin as Gross Profit excluding amortization of intangible assets. Gross Profit is defined as total revenue less provider expenses and amortization of intangible assets. Our Care Margin generated from FFS revenue is contractual and recurring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nature, and primarily based on an individually negotiated percentage of collections for each practice that joins Privia. Our Care Margin generated from VBC revenue is based on a percentage of care management fees and shared savings collected.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 Care Margin increased 17.5% for the year ended December 31, 2023 when compared to the same period in 2022 due to organic growth of our medical practice business which increased 28.2% between 2022 and 2021 due to organic growth of our medical practice business. As a percentage of revenue, Care Margin decreased to 21.7% for the year ended December 31, 2023 from 22.5% and 24.7% for the same periods in 2022 and 2021, respectively, due to the addition of the at-risk capitation arrangements during 2022 and 2023 resulting in higher revenues.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Care Margin, a non-GAAP measure, is useful in evaluating our operating performance. We use Care Margin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Care Margin is helpful to our investors as it is a metric used by management in assessing the health of our business and our operating performance.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gross profit, the most closely comparable GAAP financial measure, to Care Margin.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amounts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966,220</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Provider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(727,827)</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353,805</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302,269</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 margin</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359,164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305,620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238,393</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Contribution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Platform Contribution as Gross Profit, excluding amortization of intangible assets, less Cost of platform and excluding stock-based compensation expense included in Cost of platform. The following table provides a reconciliation of gross profit, the most closely comparable GAAP financial measure, to Platform Contribution. We consider Platform Contribution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leverage on our in-market infrastructure costs. Platform Contribution increased 16.8% for the year ended December 31, 2023 when compared to the same period in 2022 due to organic growth of our medical practice business and new market entry, and increased 38.1% between 2022 and 2021, due to organic growth of our medical practice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gross profit, the most closely comparable GAAP financial measure, to Platform Contribution: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amounts 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966,220</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Provider expense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(1,051,040)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(727,827)</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353,805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302,269</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237,081</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platform</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43,888</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Contribution</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173,481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148,540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180" w:hanging="154"/>
        <w:spacing w:after="0"/>
        <w:tabs>
          <w:tab w:leader="none" w:pos="18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 represents stock-based compensation expense included under Cost of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-123825</wp:posOffset>
            </wp:positionV>
            <wp:extent cx="33432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Contribution Margin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Platform Contribution Margin as Platform Contribution as a percentage of Care Margin. We consider Platform Contribution Margin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Margin was 48.3% for the year ended December 31, 2023 compared to 48.6% during the same period in 2022 and 45.1% in 2021. We continue to make strategic investments to provide better service to both our patients and physicians at a pace slower than the increase in revenue.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Platform Contribution and Platform Contribution Margin, each, a non-GAAP measure, are useful in evaluating our operating performance. We use Platform Contribution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In particular, we believe that the use of Platform Contribution is helpful to our investors as they are metrics used by management in assessing the health of our business and our operating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(loss) excluding interest income, interest expense, non-controlling interest expense / income, depreciation and amortization, stock-based compensation, severance, other one time or non-recurring expenses, employer taxes on equity vesting/exercises and the provision for (benefit from) income taxes.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reflect the impact of stock-based compensation expense, and (ii) Adjusted EBITDA does not reflect interest expense on our debt or the cash requirements necessary to service interest or principal payments. Adjusted EBITDA increased 18.7% for the year ended December 31, 2023, when compared to the same period in 2022 due to organic growth of our medical practice business, new market entry and a focus on managing the investment in new expenses and increased 47.1% between 2021 and 2022 due to organic growth of our medical practice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Care Margin.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was 20.1% for the year ended December 31, 2023 an increase from 19.9% for the same period in 2022 due to organic growth of our medical practice business, new market entry and a focus on managing the investment in new expenses and an increase from 17.4% in 2021, due to organic growth of our medical practice business.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and Adjusted EBITDA Margin,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and Adjusted EBITDA Margin is helpful to our investors as they are metrics used by management in assessing the health of our business and our operating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attributable to the Company, the most closely comparable GAAP financial measure,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amounts 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94"/>
        </w:trPr>
        <w:tc>
          <w:tcPr>
            <w:tcW w:w="5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Privia Health Group, Inc.</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(188,230)</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 w:right="360" w:firstLine="6"/>
        <w:spacing w:after="0" w:line="222" w:lineRule="auto"/>
        <w:tabs>
          <w:tab w:leader="none" w:pos="183"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expenses include employer taxes on equity vesting/exercises, legal, severance and certain non-recurring costs. Employer taxes on equity vesting/exercises of $1.6 million and $3.2 million were recorded for the years ended December 31, 2023 and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under “Our Revenue,” revenue is earned in three main categories: FFS revenue, VBC revenue and other revenue.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Provider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 expenses are amounts accrued or payments made to physicians, hospitals and other service providers, including Privia physicians, their related physician practices, and providers the Company has contracted with through payer partners. Those costs include physician guaranteed payments and other required distributions pursuant to the service agreements as well as medical claims costs for services provided to attributed beneficiaries under at-risk Capitated revenue arrangements for which the Company is financially responsible whether paid directly by the Company or indirectly by payers with whom the Company has contracted. Provider expenses are recognized in the period in which services are provided.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platform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Third-party EMR and practice management software expenses are paid on a percentage of revenue basis, while we pay most of the costs of our platform on a variable basis related to the number of implemented physicians we service. In addition, expenses contain stock-based compensation related to employees that provide Cost of platform services, but exclude any depreciation and amortization expense. Software development costs that do not meet capitalization criteria are expensed as incurred. As we continue to grow, we expect the cost of platform to continue to grow at a rate slower than the revenue growth rate.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of employee-related expenses, including salaries, commissions, stock-based compensation, and employee benefits costs, for all of our employees engaged in marketing, sales, community outreach, and sales support. In addition, sales and marketing expenses also include central and community-based advertising to generate greater awareness, engagement, and retention among our current and prospective patients as well as the infrastructure required to support all of our marketing efforts.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general and administrative expenses include employee-related expenses, including salaries and related costs and stock-based compensation, technology infrastructure, occupancy costs, operations, clinical and quality support, finance, legal, human resources, and development departments.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are primarily attributable to our capital investment and consist of fixed asset depreciation and amortization of intangibles considered to have definite lives. We do not allocate depreciation and amortization expenses to other operating expense categories.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expense consists primarily of interest earned by the Company on bank balances, offset by interest expense (including deferred financing costs) on any outstanding borrowings. See “Liquidity and Capital Resources—General and Note Payable.”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years ended December 31,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Provider expense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29"/>
        </w:trPr>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Cost of platform</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Sales and marketing</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9"/>
        </w:trPr>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1,637,088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1,375,782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261,306</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1444.6 %</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Privia Health Group, Inc.</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source: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FFS-patient care</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976,688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107,523</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FFS-administrative services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Capitated revenue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savings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management fees (PMPM)</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was $1.66 billion for the year ended December 31, 2023, an increase from $1.36 billion for the year ended December 31, 2022. Key drivers of this revenue growth include an increase in capitated revenue of $120.3 million due to the increase of at-risk capitation arrangements during the first quarter of 2023; FFS–patient care revenue and FFS-administrative services, which increased $107.5 million and $18.2 million, respectively, primarily attributed to an increase in visit volumes as well as the addition of new providers and the new markets of Connecticut and Washington state; shared savings revenue, which increased $37.5 million primarily due to more Attributed Lives in Medicare programs as well as continued strong estimated performance in our value based care programs; and an increase in PMPM revenue of $15.0 million primarily due to increased Attributed Lives and entrance into new markets in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Provider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platform</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1,637,088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1,375,782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261,306</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5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Provider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Provider expenses were $1.30 billion for the year ended December 31, 2023, an increase from $1.05 billion during the same period in 2022. This increase was driven primarily by higher FFS-patient care revenue and growth in Implemented Providers and the addition of new capitated arrangements.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platform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platform expenses were $197.7 million for the year ended December 31, 2023, an increase from $170.8 million during the same period in 2022. The increase was driven by an increase in salaries and benefits of $15.5 million related to continued growth, an increase in platform costs of $9.9 million due to an increase in Implemented Providers and an increase in consulting costs of $1.3 million due to continued growth and market expansion.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were $24.7 million for the year ended December 31, 2023, an increase from $19.7 million during the same period in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driven primarily by an increase in salaries and benefits of $4.3 million.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$109.6 million for the year ended December 31, 2023, a decrease from $129.6 million during the same period in 2022. The decrease was driven by the reduction of $28.2 million in stock-based compensation expense primarily related to the remaining pre-IPO stock option awards becoming fully vested during the fourth quarter of 2022, partially offset by an increase in professional services of $3.9 million related to additional consulting services, an increase in salaries and benefits of $2.3 million and various other immaterial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were $6.5 million for the year ended December 31, 2023, an increase from $4.6 million during the same period in 2022. This increase was primarily driven by amortization of intangible assets related to new acquisitions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was $8.4 million for the year ended December 31, 2023, compared to $0.5 million during the same period in 2022. This change was primarily the result of the repayment of the Term Loan Facility at the end of June 2022 and the increase in the rate of interest earned on cash in our bank accounts in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$8.0 million for the year ended December 31, 2023, compared to a benefit from income taxes of $6.5 million during the same period in 2022. The change was primarily attributable to the growth in taxable income and fewer excess tax benefits stemming from share based compensation related to stock option exercises and restricted stock vesting events.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11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interests was $2.1 million for the year ended December 31, 2023, a decrease from $3.5 million during the same period in 2022. This change was primarily due to the decrease in outstanding non-controlling interests generating losses due to the repurchase of non-controlling interests during the year ended December 31,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w:t>
            </w:r>
          </w:p>
        </w:tc>
        <w:tc>
          <w:tcPr>
            <w:tcW w:w="1760" w:type="dxa"/>
            <w:vAlign w:val="bottom"/>
            <w:gridSpan w:val="4"/>
          </w:tcPr>
          <w:p>
            <w:pPr>
              <w:jc w:val="right"/>
              <w:ind w:right="73"/>
              <w:spacing w:after="0"/>
              <w:rPr>
                <w:sz w:val="20"/>
                <w:szCs w:val="20"/>
                <w:color w:val="auto"/>
              </w:rPr>
            </w:pPr>
            <w:r>
              <w:rPr>
                <w:rFonts w:ascii="Times New Roman" w:cs="Times New Roman" w:eastAsia="Times New Roman" w:hAnsi="Times New Roman"/>
                <w:sz w:val="18"/>
                <w:szCs w:val="18"/>
                <w:color w:val="auto"/>
              </w:rPr>
              <w:t>of  operations  data</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85"/>
              </w:rPr>
              <w:t>for</w:t>
            </w: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the  years  ended</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and  2021.</w:t>
            </w: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Provider expense</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1,051,040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30"/>
        </w:trPr>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Cost of platform</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(3,893)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(3,009)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1,375,782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192,126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(1,612)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Privia Health Group, Inc.</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source: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0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FFS-patient care</w:t>
            </w:r>
          </w:p>
        </w:tc>
        <w:tc>
          <w:tcPr>
            <w:tcW w:w="44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869,165</w:t>
            </w:r>
          </w:p>
        </w:tc>
        <w:tc>
          <w:tcPr>
            <w:tcW w:w="40" w:type="dxa"/>
            <w:vAlign w:val="bottom"/>
            <w:tcBorders>
              <w:top w:val="single" w:sz="8" w:color="auto"/>
            </w:tcBorders>
            <w:gridSpan w:val="2"/>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772,482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96,683</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FFS-administrative services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26,124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Capitated revenue</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savings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49,599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management fees (PMPM)</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40" w:type="dxa"/>
            <w:vAlign w:val="bottom"/>
            <w:tcBorders>
              <w:bottom w:val="single" w:sz="8" w:color="auto"/>
            </w:tcBorders>
            <w:gridSpan w:val="2"/>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was $1.36 billion for the year ended December 31, 2022, an increase from $966.2 million for the year ended December 31, 2021. Key drivers of this revenue growth were the addition of capitated revenue in 2022 of $218.5 million, FFS–patient care revenue, which increased $96.7 million, shared savings revenue, which increased $49.6 million, and FFS-administrative services which increased $26.1 million. Revenue increases were partially offset by a decrease in care management fees, which decreased $1.0 million as some care management fee revenue was replaced by capitated revenue.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in FFS-patient care revenue and FFS-administrative services were primarily attributed to an increase in visit volumes as COVID-19 restrictions are lifted in certain states as well as the addition of new providers and the new markets of California and West Texas, which were part of Privia for the full year in 2022. Capitated revenue growth was due to the commencement of at-risk capitation arrangements during the first quarter of 2022 resulting in increased revenue of $218.5 million. Shared savings growth was primarily due to more Attributed Lives in Medicare programs as well as continued strong estimated performance in our value based care programs.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9"/>
        </w:trPr>
        <w:tc>
          <w:tcPr>
            <w:tcW w:w="5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Provider expense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platform</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1,375,782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1,183,656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192,126</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Provider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Provider expenses were $1.05 billion for the year ended December 31, 2022, an increase from $727.8 million during the same period in 2021. This increase was driven primarily by the commencement of at-risk capitation arrangements during the first quarter of 2022 and higher FFS-patient care revenue and growth in Implemented Providers.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platform</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platform expenses were $170.8 million for the year ended December 31, 2022, a decrease from $174.7 million during the same period in 2021. This decrease was primarily driven by the reduction of $30.1 million in stock-based compensation expense primarily related to the modification of vesting terms of options in connection with the Company’s IPO during the year ended December 31, 2021, partially offset by an increase in salaries and benefits of $16.4 million related to continued growth, and an increase in EMR and platform technology costs of $6.2 million driven by an increase in FFS claims and an increase in consulting costs of $1.8 million due to continued growth and market expansion, and various other immaterial expenses related to growth and market expansion.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were $19.7 million for the year ended December 31, 2022, a decrease from $22.7 million during the same period in 2021. The decrease was driven by the reduction of $6.2 million in stock-based compensation expense primarily related to the modification of vesting terms of options in connection with the Company’s IPO during the year ended December 31, 2021, partially offset by an increase in sales and benefits of $2.1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$129.6 million for the year ended December 31, 2022, a decrease from $255.9 million during the same period in 2021. This decrease was primarily driven by the reduction of $149.8 million in stock-based compensation expense primarily related to the modification of vesting terms of options in connection with the Company’s IPO during the year ended December 31, 2021, partially offset by an increase in compensation and benefits of $11.3 million, which includes $2.4 million of employer taxes on equity vesting/exercises, an increase in professional services of $5.1 million related to additional consulting services for audit, tax and SOX compliance and various other immaterial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$4.6 million for the year ended December 31, 2022, an increase from $2.5 million during the same period in 2021. This increase was primarily driven by amortization of intangible assets related to the acquisition of BASS Privia Management Company of California, LLC (“BPMC”) and Privia Medical Group West Texas, PLLC, formerly known as Abilene Diagnostic Clinic, PLLC (“PMG West Texas” or “WTX Friendly Medical Group”) during the fourth quarter of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expense was $0.5 million for the year ended December 31, 2022, compared to interest expense of $1.1 million during the same period in 2021. This change was primarily the result of the repayment of the Term Loan Facility at the end of June 2022 and the increase in the rate of interest earned on cash in our bank accounts in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income taxes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 from income taxes of $6.5 million for the year ended December 31, 2022 decreased from $27.9 million during the same period in 2021. The benefit for the year ended December 31, 2022 is primarily the result of the pre-tax loss and windfall tax deductions related to the exercise of the stock options and vesting of RSUs partially offset by the non-deductible stock-based compensation expense.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non-controlling interests was $3.5 million for the year ended December 31, 2022, an increase from $2.4 million during the same period in 2021. This change was primarily related to investments in new joint venture markets.</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sale of our equity, payments received from various payers and through borrowings under the Credit Facilities. As of December 31, 2023, we had cash and cash equivalents of $389.5 million. We received $211.0 million of net proceeds from the Company’s IPO and Anthem private placement on May 3, 2021. Our cash and cash equivalents primarily consist of highly liquid investments in money market funds and cash.</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cash and cash equivalents, including the proceeds from the IPO, together with cash flows from operations, will provide adequate resources to fund our short-term and long-term operating and capital needs.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and the timing and extent of spending to increase our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“Debt” for discussion on our Credit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cash requirements within the next twelve months include provider liabilities, accounts payable and accrued liabilities, and purchase commitments and other obligations. We expect the cash required to meet these obligations to be primarily generated through cash flows from current operations; cash available for general corporate use; and the realization of current assets, such as accounts receivable. Based on current and anticipated levels of operations, we anticipate that net cash provided by operating activities, together with the available cash on hand at December 31, 2023, should be adequate to meet anticipated cash requirements for the short term (next 12 months) and long term (beyond 12 months).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cash flows from operating, investing and financing activities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5"/>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35"/>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6"/>
        </w:trPr>
        <w:tc>
          <w:tcPr>
            <w:tcW w:w="5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55,058</w:t>
            </w:r>
          </w:p>
        </w:tc>
      </w:tr>
      <w:tr>
        <w:trPr>
          <w:trHeight w:val="230"/>
        </w:trPr>
        <w:tc>
          <w:tcPr>
            <w:tcW w:w="5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w:t>
            </w:r>
          </w:p>
        </w:tc>
      </w:tr>
      <w:tr>
        <w:trPr>
          <w:trHeight w:val="230"/>
        </w:trPr>
        <w:tc>
          <w:tcPr>
            <w:tcW w:w="5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213,661</w:t>
            </w:r>
          </w:p>
        </w:tc>
      </w:tr>
      <w:tr>
        <w:trPr>
          <w:trHeight w:val="223"/>
        </w:trPr>
        <w:tc>
          <w:tcPr>
            <w:tcW w:w="5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235,944</w:t>
            </w:r>
          </w:p>
        </w:tc>
      </w:tr>
      <w:tr>
        <w:trPr>
          <w:trHeight w:val="20"/>
        </w:trPr>
        <w:tc>
          <w:tcPr>
            <w:tcW w:w="5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$80.8 million for the year ended December 31, 2023 compared to $47.2 million for the same period in 2022. Significant changes impacting net cash provided by operating activities for the year ended December 31, 2023 compared to the same period in 2022 were as follows:</w:t>
      </w:r>
    </w:p>
    <w:p>
      <w:pPr>
        <w:spacing w:after="0" w:line="68" w:lineRule="exact"/>
        <w:rPr>
          <w:sz w:val="20"/>
          <w:szCs w:val="20"/>
          <w:color w:val="auto"/>
        </w:rPr>
      </w:pPr>
    </w:p>
    <w:p>
      <w:pPr>
        <w:jc w:val="both"/>
        <w:ind w:left="980" w:hanging="324"/>
        <w:spacing w:after="0" w:line="261" w:lineRule="auto"/>
        <w:tabs>
          <w:tab w:leader="none" w:pos="975"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net income of $33.1 million compared to the same period in 2022. Net income was $21.0 million during the year ended December 31, 2023 compared to the loss of $(12.1) million during the year ended December 31, 2022, primarily driven by the decrease in stock-based compensation expense during the year ended December 31, 2023 when compared to the same period in 2022, primarily related to the remaining pre-IPO stock option awards becoming fully vested during the fourth quarter of 2022.</w:t>
      </w:r>
    </w:p>
    <w:p>
      <w:pPr>
        <w:spacing w:after="0" w:line="71" w:lineRule="exact"/>
        <w:rPr>
          <w:rFonts w:ascii="Times New Roman" w:cs="Times New Roman" w:eastAsia="Times New Roman" w:hAnsi="Times New Roman"/>
          <w:sz w:val="18"/>
          <w:szCs w:val="18"/>
          <w:i w:val="1"/>
          <w:iCs w:val="1"/>
          <w:color w:val="auto"/>
        </w:rPr>
      </w:pPr>
    </w:p>
    <w:p>
      <w:pPr>
        <w:jc w:val="both"/>
        <w:ind w:left="980" w:hanging="324"/>
        <w:spacing w:after="0" w:line="266" w:lineRule="auto"/>
        <w:tabs>
          <w:tab w:leader="none" w:pos="9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$113.4 million in provider liability for the year ended December 31, 2023 compared to an increase of $67.7 million during the same period in 2022, a difference of $45.7 million. The increase is primarily due to an increase in provider expenses related to shared savings and at-risk capitation arrangements during the year ended December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hanging="324"/>
        <w:spacing w:after="0" w:line="266" w:lineRule="auto"/>
        <w:tabs>
          <w:tab w:leader="none" w:pos="9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$(96.9) million in accounts receivable, for the year ended December 31, 2023 compared to the same period in 2022 of $(72.2) million, a difference of $(24.7) million. The increase is primarily driven by the addition of new at-risk capitation arrangements during the year ended December 31, 2023 and an increase in FFS and VBC revenue.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$47.2 million for the year ended December 31, 2022 compared to $55.1 million for the same period in 2021. Significant changes impacting net cash provided by operating activities for the year ended December 31, 2022 compared to the same period in 2021 were as follows:</w:t>
      </w:r>
    </w:p>
    <w:p>
      <w:pPr>
        <w:spacing w:after="0" w:line="68" w:lineRule="exact"/>
        <w:rPr>
          <w:sz w:val="20"/>
          <w:szCs w:val="20"/>
          <w:color w:val="auto"/>
        </w:rPr>
      </w:pPr>
    </w:p>
    <w:p>
      <w:pPr>
        <w:jc w:val="both"/>
        <w:ind w:left="980" w:hanging="324"/>
        <w:spacing w:after="0" w:line="261" w:lineRule="auto"/>
        <w:tabs>
          <w:tab w:leader="none" w:pos="975"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Decrease in loss of $178.5 million from a loss of $(12.1) million during the year ended December 31, 2022 compared to loss of $(190.6) million during the year ended December 31, 2021, primarily driven by the recognition of stock-based compensation expense related to the modification of vesting terms of options in connection with the Company’s IPO during the year ended December 31, 2021 when compared to the recognition of stock-based compensation for the same period in 2022.</w:t>
      </w:r>
    </w:p>
    <w:p>
      <w:pPr>
        <w:spacing w:after="0" w:line="71" w:lineRule="exact"/>
        <w:rPr>
          <w:rFonts w:ascii="Times New Roman" w:cs="Times New Roman" w:eastAsia="Times New Roman" w:hAnsi="Times New Roman"/>
          <w:sz w:val="18"/>
          <w:szCs w:val="18"/>
          <w:b w:val="1"/>
          <w:bCs w:val="1"/>
          <w:i w:val="1"/>
          <w:iCs w:val="1"/>
          <w:color w:val="auto"/>
        </w:rPr>
      </w:pPr>
    </w:p>
    <w:p>
      <w:pPr>
        <w:jc w:val="both"/>
        <w:ind w:left="980" w:hanging="324"/>
        <w:spacing w:after="0" w:line="266" w:lineRule="auto"/>
        <w:tabs>
          <w:tab w:leader="none" w:pos="975"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of $(72.2) million in accounts receivable, net, for the year ended December 31, 2022 compared to the same period in 2022 of $(14.6) million, an increase of $(57.6) million. The increase is primarily driven by the commencement of at-risk capitation arrangements during the year ended December 31, 2022 and an increase in FFS and VBC revenue.</w:t>
      </w:r>
    </w:p>
    <w:p>
      <w:pPr>
        <w:spacing w:after="0" w:line="67" w:lineRule="exact"/>
        <w:rPr>
          <w:rFonts w:ascii="Times New Roman" w:cs="Times New Roman" w:eastAsia="Times New Roman" w:hAnsi="Times New Roman"/>
          <w:sz w:val="18"/>
          <w:szCs w:val="18"/>
          <w:b w:val="1"/>
          <w:bCs w:val="1"/>
          <w:i w:val="1"/>
          <w:iCs w:val="1"/>
          <w:color w:val="auto"/>
        </w:rPr>
      </w:pPr>
    </w:p>
    <w:p>
      <w:pPr>
        <w:jc w:val="both"/>
        <w:ind w:left="980" w:hanging="324"/>
        <w:spacing w:after="0" w:line="266" w:lineRule="auto"/>
        <w:tabs>
          <w:tab w:leader="none" w:pos="975"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of $67.7 million in provider liability for the year ended December 31, 2022 compared to an increase of $33.9 million during the same period in 2021, an increase of $33.8 million. The increase is primarily due to an increase in shared shavings and the commencement of at-risk capitation arrangements during the year ended December 31, 2022, accounting for $28.6 million of the increase.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$43.0 million for the year ended December 31, 2023 compared to $0.1 million during the same period in 2022, primarily due to Privia investing in three new markets during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$0.1 million for the year ended December 31, 2022 compared to $32.8 million during the same period in 2021, primarily due to Privia investing in two new markets during the fourth quarter of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$3.7 million for the year ended December 31, 2023, compared to net cash used in financing activities of $(19.7) million for the same period in 2022. This increase primarily related to the use of cash to repay the Company’s Term Loan Facility during the year ended December 31, 2022, partially offset by the receipt of proceeds from stock options exercised and the repurchase of non-controlling interest.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$(19.7) million for the year ended December 31, 2022 compared to net cash provided bv financing activities of $213.7 million for the same period in 2021. This decrease was primarily related to the receipt of the net proceeds from the Company’s IPO of $211.0 million during year ended December 31, 2021, and the use of cash to repay the Company’s Term Loan Facility during the year ended December 31, 2022, partially offset by the receipt of proceeds from stock options exercised of $13.4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The Company leases office space under various operating lease agreements. The initial terms of these leases range from 2 to 9 years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provide for periodic rent increases, renewal, and termination operations. Total rent expense under operating leases was $2.7 million for the years ended December 31, 2023 and 2022 and $2.1 million for the years ended 2021.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Off Balance Sheet Obligations. </w:t>
      </w:r>
      <w:r>
        <w:rPr>
          <w:rFonts w:ascii="Times New Roman" w:cs="Times New Roman" w:eastAsia="Times New Roman" w:hAnsi="Times New Roman"/>
          <w:sz w:val="18"/>
          <w:szCs w:val="18"/>
          <w:color w:val="auto"/>
        </w:rPr>
        <w:t>We do not have any off-balance sheet arrangements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See Note 14 “Commitments and Contingencies” for further discussion on our 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factors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1, “Organization and Summary of Significant Accounting Policies,”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us to allocate the fair value of purchase considerations to the tangible assets acquired, liabilities assumed, and intangible assets acquired based on their estimated fair values, which were determined primarily using the income method. The excess of the fair value of purchase consideration over the fair values of these identified assets and liabilities is recorded as goodwill. Such valuations require us to make significant estimates and assumptions, especially at the acquisition date with respect to intangible assets. Significant estimates in valuing certain intangible assets include, but are not limited to, revenue growth rates, medical claims expense, cost of care expenses, operating expenses, discount rate, contract terms and useful life from acquired assets.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finite-lived intangible assets are amortized over the useful life, whereas any indefinite lived intangible assets, including goodwill, are not amortized.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 For additional details, refer to Note 3. “Business Combinations.”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in an amount that reflects the consideration which the entity expects to receive in exchange for those goods or services. The Company determines revenue recognition through the following five steps:</w:t>
      </w:r>
    </w:p>
    <w:p>
      <w:pPr>
        <w:spacing w:after="0" w:line="54"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entity satisfies a performance obligation.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FFS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FFS-patient care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FFS-patient care revenue is primarily generated from providing healthcare services to patients. Providing medical services to patients represents our performance obligation under third-party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2023, 2022, and 2021, changes in the Company’s estimates of implicit price concessions and contractual adjustments to expected payments for performance obligations satisfied in prior periods were not significant.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FFS-administrative services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FFS-administrative services business provides administration and management services pursuant to MSAs with Non-Owned Medical Groups.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MSAs with the Non-Owned Medical Groups range from 5 –20 years in duration and outline the terms and conditions of the administration and management services to be provided, which includes RCM services such as billings and collections, as well as other services, including, but not limited to, payer contracting, information technology services and accounting and treasury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MSAs, the Company is paid a percentage of net collections. The percentage is fixed per the MSAs; however, the net collections can fluctuate during the life of the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revenue.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Administrative fees are reported at the amount that reflects the consideration to which the Company expects to be entitled in exchange for the provision of administration and management services to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Rebates of $2.7 million have been recorded for the years ended December 31, 2023 and 2022, respectively. No rebates were recorded for the year ended December 31,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VBC revenue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VBC business consists of its clinically integrated network and Accountable Care Organizations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earned as follows: (1) Capitated revenue (2) on a shared savings basis and (3) Care management fees on a per member per month basis.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Capitated Revenue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Capitated revenue consists of capitation fees earned under contracts with various Medicare Advantage payers (“Payers”) in at-risk capitation arrangements. The Company is entitled to monthly fees to provide a defined range of healthcare services for Medicare Advantage health plan members (“attributed beneficiaries” or “attributed lives”) attributed to the Company’s contracted physicians (typically primary care). Monthly fees are determined as a percentage of the premium payers receive from the Centers for Medicare &amp; Medicaid Services (“CMS”) for these attributed beneficiaries. In at-risk arrangements, the Company generally accepts financial risk for beneficiaries attributed to its contracted physicians and, therefore, is responsible for the cost of contracted healthcare services required by those beneficiaries in accordance with the terms of each agreement. Fees are recorded gross in revenue because the Company is acting as a principal in coordinating and controlling the range of services provided (other than clinical decisions) under its Capitated revenue contracts with payers. Capitated revenue contracts with payers are generally multi-year arrangements and have a single monthly stand ready performance obligation, as defined by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provide all aspects of necessary medical care to members for the contracted period. The Company recognizes revenue in the month in which the eligible beneficiary is entitled to receive healthcare benefits during the contract term.</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price for the Company’s capitation contracts is a fixed percentage of premium per attributed life with periodic adjustment, as the monthly fees to which the Company are entitled are subject to periodic adjustments under CMS’s risk adjustment payment methodology. CMS deploys a risk adjustment model that determines premiums paid to all payers according to each attributed life’s health status and certain demographic factors. Under this risk adjustment methodology, CMS calculates the risk adjusted premium payment using diagnosis data from various settings. The Company and healthcare providers collect and submit diagnosis data to payers (and ultimately to CMS) to be utilized in the determination of risk adjustments and such data is used by the Company to estimate any adjustments to the Capitated revenue earned that may increase or decrease revenue in subsequent periods pursuant to contractual terms. Such adjustments are estimated using the most likely amount methodology and amounts are only included in revenue to the extent that it is probable that a significant reversal of cumulative revenue will not occur once any uncertainty is resolved. Capitated revenue fees are also subject to adjustment for incentives or penalties based on the achievement of certain quality metrics defined in the Company’s contracts with payers. The Company recognizes incentive revenue as earned using the most likely amount methodology and only to the extent that it is probable that a significant reversal of cumulative revenue will not occur once any uncertainty is resolved.</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affiliates are a registered insurance company as state law in the states in which we operate do not require such registration for risk bearing providers.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Savings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shared savings basis, the Company is offered financial incentives to increase its accountability for the cost, quality and efficiency of the care provided to the population of attributed members. The Company is paid the financial incentives when, for a given twelve-month measurement period, its performance on quality of care and utilization meets or exceeds the standards set by the payers as outlined in the contracts and when savings are achieved for medical costs associated with the population of attributed</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members. The payers analyze the activities during the measurement period using the agreed upon benchmarks, metrics and performance criteria to determine the appropriate payments to the Company.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transaction price by analyzing the activities during the relevant time period in contemplation of the agreed upon benchmarks, metrics, performance criteria, inflation trend factors, risk ratio adjustments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are provided during a pre-set twelve-month annual measurement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 Management Fees (PMPM)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operations through December 31, 2021. No funds were received from the CARES Act for the year ended December 31, 2023 and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plus the fair value of any non-controlling interests in the acquiree, over the fair value of identifiable net assets acquired.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 completes a single assessment of Goodwill as it has one reporting unit.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Provider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 Liability, referred to as “Physician and Practice liability”, represents costs payable to physicians, hospitals and other ancillary providers, including both Privia physicians, their related practices, and providers the Company has contracted with through payer partners. Those costs include amounts that have not yet been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expense recognition provisions of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which requires the issuer to recognize compensation expense for all share-based payments made to employees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share-based payment at the date of grant. Up until April 2021,the estimated fair value of share-based payments granted to the Company’s employees was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11 “Stockholders’ Equity”). The share-based payments granted or modified prior to April 2021 to employees of the Company do not have quoted market prices, and changes in subjective input assumptions can materially affect the fair value estimate. Since April 2021, the Company has estimated the fair value of the options granted to Company’s employees and contractors using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Black-Scholes option-pricing model. Option valuation models require several inputs, such as the expected stock price volatility, the fair value of the stock, the risk free rate, the expected term of the award and the dividend yield. The Company records share-based compensation forfeitures as a reversal of previously recognized compensation expense as the forfeitures occur. For additional details refer to Note 11 “Stockholder Equity.”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issued certain performance stock units ("PSUs") during the second quarter of 2023. The awards will vest based on the satisfaction of certain service conditions, performance-based conditions, and market conditions.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over the requisite service period based on the estimated fair value at each reporting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rising interest rates. Interest rate risk is highly sensitive due to many factors, including U.S. monetary and tax policies, U.S. and international economic factors and other factors beyond our control. Our Credit Agreement bears interest at a base rate plus applicable margin, with the base rate being the higher of the Prime Rate or the Federal Funds Rate plus 0.50%. In no event will the base rate be less than 1.0% As of December 31, 2023, the Company had no outstanding debt under the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information required by this item is included in Item 15 of this Annual Report on Form 10-K and is incorporated into this item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at the reasonable assurance level as of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management, including our Chief Executive Officer and Chief Financial Officer, has evaluated the effectiveness of our internal control over financial reporting as of December 31, 2023. In assessing the effectiveness of our internal control over financial reporting, our management used the framework established in Internal Control Integrated Framework (2013) issued by the Committee of Sponsoring Organizations of the Treadway Commission (“COSO”). Based on that evaluation, our management has concluded that our internal control over financial reporting was effective as of December 31, 2023.</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PricewaterhouseCoopers LLP, an independent registered public accounting firm, as stated in their report, which can be found under Part IV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our Internal Controls over Financial Reporting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made to the Company’s internal control over financial reporting during the quarter ended December 31, 2023 that have materially affected, or are reasonably likely to materially affect, the Company’s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Controls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officers or directors of the Company adopted, modified or terminated any trading plan during the fourth quarter of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adopted a written Code of Ethics and business conduct that applies to our directors, executive officers and employees, including our Chief Executive Officer, President and Chief Operating Officer, General Counsel, Chief Financial Officer, principal accounting officer, the controller and all persons performing similar functions. A current copy of the code is posted under “Governance” on the Investor Relations section of our website, our website, ir.priviahealth.com. Any waiver from the Code of Ethics and any amendments to the Code of Ethics will be disclosed on such page of the Company’s website.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definitive proxy statement to be filed with the SEC in connection with the Annual Meeting of Stockholders within 120 days after December 31, 2023 (the “Proxy Statement”) and is incorporated into this Annual Report on Form 10-K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into this Annual Report on Form 10-K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following documents are filed as part of the Annual Report on Form 10- K:</w:t>
      </w:r>
    </w:p>
    <w:p>
      <w:pPr>
        <w:spacing w:after="0" w:line="117"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Index to Consolidated Financial Statements on page F-1 of this annual report on Form 10-K is provided in response to this item.</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“Exhibit Index” are filed, furnished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w:t>
      </w:r>
    </w:p>
    <w:p>
      <w:pPr>
        <w:sectPr>
          <w:pgSz w:w="11900" w:h="16838" w:orient="portrait"/>
          <w:cols w:equalWidth="0" w:num="1">
            <w:col w:w="11200"/>
          </w:cols>
          <w:pgMar w:left="320" w:top="121" w:right="379" w:bottom="1440" w:gutter="0" w:footer="0" w:header="0"/>
        </w:sectPr>
      </w:pP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254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tabs>
          <w:tab w:leader="none" w:pos="5700" w:val="left"/>
          <w:tab w:leader="none" w:pos="6300" w:val="left"/>
          <w:tab w:leader="none" w:pos="7220" w:val="left"/>
          <w:tab w:leader="none" w:pos="8220" w:val="left"/>
          <w:tab w:leader="none" w:pos="9160" w:val="left"/>
        </w:tabs>
        <w:rPr>
          <w:sz w:val="20"/>
          <w:szCs w:val="20"/>
          <w:color w:val="auto"/>
        </w:rPr>
      </w:pP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33655</wp:posOffset>
            </wp:positionV>
            <wp:extent cx="6454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760" w:space="340"/>
            <w:col w:w="10100"/>
          </w:cols>
          <w:pgMar w:left="320" w:top="121" w:right="379" w:bottom="1440" w:gutter="0" w:footer="0" w:header="0"/>
          <w:type w:val="continuous"/>
        </w:sectPr>
      </w:pP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3.1+</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4.1+</w:t>
      </w:r>
    </w:p>
    <w:p>
      <w:pPr>
        <w:spacing w:after="0" w:line="24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6"/>
          <w:szCs w:val="16"/>
          <w:color w:val="auto"/>
        </w:rPr>
        <w:t>4.2+</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10.2+</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10.3+</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10.4+</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10.5+</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10.6+</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10.7+</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10.8+</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10.9+</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10.10+</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10.11+</w:t>
      </w:r>
      <w:r>
        <w:rPr>
          <w:rFonts w:ascii="Times New Roman" w:cs="Times New Roman" w:eastAsia="Times New Roman" w:hAnsi="Times New Roman"/>
          <w:sz w:val="17"/>
          <w:szCs w:val="17"/>
          <w:color w:val="auto"/>
        </w:rPr>
        <w:t>§</w:t>
      </w: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10.12+</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10.13+</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10.14+</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10.15+</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10.15+</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10.16+</w:t>
      </w:r>
      <w:r>
        <w:rPr>
          <w:rFonts w:ascii="Times New Roman" w:cs="Times New Roman" w:eastAsia="Times New Roman" w:hAnsi="Times New Roman"/>
          <w:sz w:val="17"/>
          <w:szCs w:val="17"/>
          <w:color w:val="auto"/>
        </w:rPr>
        <w:t>§</w:t>
      </w: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10.17+</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32" w:lineRule="auto"/>
        <w:rPr>
          <w:rFonts w:ascii="Times New Roman" w:cs="Times New Roman" w:eastAsia="Times New Roman" w:hAnsi="Times New Roman"/>
          <w:sz w:val="16"/>
          <w:szCs w:val="16"/>
          <w:u w:val="single" w:color="auto"/>
          <w:color w:val="0000FF"/>
        </w:rPr>
      </w:pPr>
      <w:hyperlink r:id="rId106">
        <w:r>
          <w:rPr>
            <w:rFonts w:ascii="Times New Roman" w:cs="Times New Roman" w:eastAsia="Times New Roman" w:hAnsi="Times New Roman"/>
            <w:sz w:val="16"/>
            <w:szCs w:val="16"/>
            <w:u w:val="single" w:color="auto"/>
            <w:color w:val="0000FF"/>
          </w:rPr>
          <w:t>Amended and Restated Certificate of Incorporation (incorporated herein by reference</w:t>
        </w:r>
      </w:hyperlink>
      <w:r>
        <w:rPr>
          <w:rFonts w:ascii="Times New Roman" w:cs="Times New Roman" w:eastAsia="Times New Roman" w:hAnsi="Times New Roman"/>
          <w:sz w:val="16"/>
          <w:szCs w:val="16"/>
          <w:u w:val="single" w:color="auto"/>
          <w:color w:val="0000FF"/>
        </w:rPr>
        <w:t xml:space="preserve"> </w:t>
      </w:r>
      <w:hyperlink r:id="rId106">
        <w:r>
          <w:rPr>
            <w:rFonts w:ascii="Times New Roman" w:cs="Times New Roman" w:eastAsia="Times New Roman" w:hAnsi="Times New Roman"/>
            <w:sz w:val="16"/>
            <w:szCs w:val="16"/>
            <w:u w:val="single" w:color="auto"/>
            <w:color w:val="0000FF"/>
          </w:rPr>
          <w:t>to Exhibit 3.1 to the registrant’s Registration Statement on Form S-1 (File No. 333-</w:t>
        </w:r>
      </w:hyperlink>
      <w:hyperlink r:id="rId106">
        <w:r>
          <w:rPr>
            <w:rFonts w:ascii="Times New Roman" w:cs="Times New Roman" w:eastAsia="Times New Roman" w:hAnsi="Times New Roman"/>
            <w:sz w:val="16"/>
            <w:szCs w:val="16"/>
            <w:u w:val="single" w:color="auto"/>
            <w:color w:val="0000FF"/>
          </w:rPr>
          <w:t>255086), filed with the SEC on April 7, 2021)</w:t>
        </w:r>
      </w:hyperlink>
    </w:p>
    <w:p>
      <w:pPr>
        <w:spacing w:after="0" w:line="60" w:lineRule="exact"/>
        <w:rPr>
          <w:rFonts w:ascii="Times New Roman" w:cs="Times New Roman" w:eastAsia="Times New Roman" w:hAnsi="Times New Roman"/>
          <w:sz w:val="16"/>
          <w:szCs w:val="16"/>
          <w:u w:val="single" w:color="auto"/>
          <w:color w:val="0000FF"/>
        </w:rPr>
      </w:pPr>
    </w:p>
    <w:p>
      <w:pPr>
        <w:jc w:val="both"/>
        <w:spacing w:after="0" w:line="227" w:lineRule="auto"/>
        <w:rPr>
          <w:rFonts w:ascii="Times New Roman" w:cs="Times New Roman" w:eastAsia="Times New Roman" w:hAnsi="Times New Roman"/>
          <w:sz w:val="16"/>
          <w:szCs w:val="16"/>
          <w:u w:val="single" w:color="auto"/>
          <w:color w:val="0000FF"/>
        </w:rPr>
      </w:pPr>
      <w:hyperlink r:id="rId107">
        <w:r>
          <w:rPr>
            <w:rFonts w:ascii="Times New Roman" w:cs="Times New Roman" w:eastAsia="Times New Roman" w:hAnsi="Times New Roman"/>
            <w:sz w:val="16"/>
            <w:szCs w:val="16"/>
            <w:u w:val="single" w:color="auto"/>
            <w:color w:val="0000FF"/>
          </w:rPr>
          <w:t>Third Amended and Restated Bylaws of Privia Health Group, Inc., adopted and in</w:t>
        </w:r>
      </w:hyperlink>
      <w:r>
        <w:rPr>
          <w:rFonts w:ascii="Times New Roman" w:cs="Times New Roman" w:eastAsia="Times New Roman" w:hAnsi="Times New Roman"/>
          <w:sz w:val="16"/>
          <w:szCs w:val="16"/>
          <w:u w:val="single" w:color="auto"/>
          <w:color w:val="0000FF"/>
        </w:rPr>
        <w:t xml:space="preserve"> </w:t>
      </w:r>
      <w:hyperlink r:id="rId107">
        <w:r>
          <w:rPr>
            <w:rFonts w:ascii="Times New Roman" w:cs="Times New Roman" w:eastAsia="Times New Roman" w:hAnsi="Times New Roman"/>
            <w:sz w:val="16"/>
            <w:szCs w:val="16"/>
            <w:u w:val="single" w:color="auto"/>
            <w:color w:val="0000FF"/>
          </w:rPr>
          <w:t>effect as of August 1, 2023 (incorporated herein by reference to Exhibit 3.1 to the</w:t>
        </w:r>
      </w:hyperlink>
      <w:r>
        <w:rPr>
          <w:rFonts w:ascii="Times New Roman" w:cs="Times New Roman" w:eastAsia="Times New Roman" w:hAnsi="Times New Roman"/>
          <w:sz w:val="16"/>
          <w:szCs w:val="16"/>
          <w:u w:val="single" w:color="auto"/>
          <w:color w:val="0000FF"/>
        </w:rPr>
        <w:t xml:space="preserve"> </w:t>
      </w:r>
      <w:hyperlink r:id="rId107">
        <w:r>
          <w:rPr>
            <w:rFonts w:ascii="Times New Roman" w:cs="Times New Roman" w:eastAsia="Times New Roman" w:hAnsi="Times New Roman"/>
            <w:sz w:val="16"/>
            <w:szCs w:val="16"/>
            <w:u w:val="single" w:color="auto"/>
            <w:color w:val="0000FF"/>
          </w:rPr>
          <w:t>registrant's Current Report on Form 8-K (File No. 001-40365), filed with the SEC on</w:t>
        </w:r>
      </w:hyperlink>
      <w:r>
        <w:rPr>
          <w:rFonts w:ascii="Times New Roman" w:cs="Times New Roman" w:eastAsia="Times New Roman" w:hAnsi="Times New Roman"/>
          <w:sz w:val="16"/>
          <w:szCs w:val="16"/>
          <w:u w:val="single" w:color="auto"/>
          <w:color w:val="0000FF"/>
        </w:rPr>
        <w:t xml:space="preserve"> </w:t>
      </w:r>
      <w:hyperlink r:id="rId107">
        <w:r>
          <w:rPr>
            <w:rFonts w:ascii="Times New Roman" w:cs="Times New Roman" w:eastAsia="Times New Roman" w:hAnsi="Times New Roman"/>
            <w:sz w:val="16"/>
            <w:szCs w:val="16"/>
            <w:u w:val="single" w:color="auto"/>
            <w:color w:val="0000FF"/>
          </w:rPr>
          <w:t>July 31, 2023</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32" w:lineRule="auto"/>
        <w:rPr>
          <w:rFonts w:ascii="Times New Roman" w:cs="Times New Roman" w:eastAsia="Times New Roman" w:hAnsi="Times New Roman"/>
          <w:sz w:val="16"/>
          <w:szCs w:val="16"/>
          <w:u w:val="single" w:color="auto"/>
          <w:color w:val="0000FF"/>
        </w:rPr>
      </w:pPr>
      <w:hyperlink r:id="rId108">
        <w:r>
          <w:rPr>
            <w:rFonts w:ascii="Times New Roman" w:cs="Times New Roman" w:eastAsia="Times New Roman" w:hAnsi="Times New Roman"/>
            <w:sz w:val="16"/>
            <w:szCs w:val="16"/>
            <w:u w:val="single" w:color="auto"/>
            <w:color w:val="0000FF"/>
          </w:rPr>
          <w:t>Form of Common Stock Certificate (incorporated herein by reference to Exhibit 4.1</w:t>
        </w:r>
      </w:hyperlink>
      <w:r>
        <w:rPr>
          <w:rFonts w:ascii="Times New Roman" w:cs="Times New Roman" w:eastAsia="Times New Roman" w:hAnsi="Times New Roman"/>
          <w:sz w:val="16"/>
          <w:szCs w:val="16"/>
          <w:u w:val="single" w:color="auto"/>
          <w:color w:val="0000FF"/>
        </w:rPr>
        <w:t xml:space="preserve"> </w:t>
      </w:r>
      <w:hyperlink r:id="rId108">
        <w:r>
          <w:rPr>
            <w:rFonts w:ascii="Times New Roman" w:cs="Times New Roman" w:eastAsia="Times New Roman" w:hAnsi="Times New Roman"/>
            <w:sz w:val="16"/>
            <w:szCs w:val="16"/>
            <w:u w:val="single" w:color="auto"/>
            <w:color w:val="0000FF"/>
          </w:rPr>
          <w:t>to the registrant’s Registration Statement on Form S-1 (File No. 333-255086), filed</w:t>
        </w:r>
      </w:hyperlink>
      <w:r>
        <w:rPr>
          <w:rFonts w:ascii="Times New Roman" w:cs="Times New Roman" w:eastAsia="Times New Roman" w:hAnsi="Times New Roman"/>
          <w:sz w:val="16"/>
          <w:szCs w:val="16"/>
          <w:u w:val="single" w:color="auto"/>
          <w:color w:val="0000FF"/>
        </w:rPr>
        <w:t xml:space="preserve"> </w:t>
      </w:r>
      <w:hyperlink r:id="rId108">
        <w:r>
          <w:rPr>
            <w:rFonts w:ascii="Times New Roman" w:cs="Times New Roman" w:eastAsia="Times New Roman" w:hAnsi="Times New Roman"/>
            <w:sz w:val="16"/>
            <w:szCs w:val="16"/>
            <w:u w:val="single" w:color="auto"/>
            <w:color w:val="0000FF"/>
          </w:rPr>
          <w:t>with the SEC on April 7, 2021)</w:t>
        </w:r>
      </w:hyperlink>
    </w:p>
    <w:p>
      <w:pPr>
        <w:spacing w:after="0" w:line="60" w:lineRule="exact"/>
        <w:rPr>
          <w:rFonts w:ascii="Times New Roman" w:cs="Times New Roman" w:eastAsia="Times New Roman" w:hAnsi="Times New Roman"/>
          <w:sz w:val="16"/>
          <w:szCs w:val="16"/>
          <w:u w:val="single" w:color="auto"/>
          <w:color w:val="0000FF"/>
        </w:rPr>
      </w:pPr>
    </w:p>
    <w:p>
      <w:pPr>
        <w:spacing w:after="0"/>
        <w:rPr>
          <w:rFonts w:ascii="Times New Roman" w:cs="Times New Roman" w:eastAsia="Times New Roman" w:hAnsi="Times New Roman"/>
          <w:sz w:val="16"/>
          <w:szCs w:val="16"/>
          <w:u w:val="single" w:color="auto"/>
          <w:color w:val="0000FF"/>
        </w:rPr>
      </w:pPr>
      <w:hyperlink r:id="rId109">
        <w:r>
          <w:rPr>
            <w:rFonts w:ascii="Times New Roman" w:cs="Times New Roman" w:eastAsia="Times New Roman" w:hAnsi="Times New Roman"/>
            <w:sz w:val="16"/>
            <w:szCs w:val="16"/>
            <w:u w:val="single" w:color="auto"/>
            <w:color w:val="0000FF"/>
          </w:rPr>
          <w:t>Description of Capital Stock</w:t>
        </w:r>
      </w:hyperlink>
    </w:p>
    <w:p>
      <w:pPr>
        <w:spacing w:after="0" w:line="86" w:lineRule="exact"/>
        <w:rPr>
          <w:rFonts w:ascii="Times New Roman" w:cs="Times New Roman" w:eastAsia="Times New Roman" w:hAnsi="Times New Roman"/>
          <w:sz w:val="16"/>
          <w:szCs w:val="16"/>
          <w:u w:val="single" w:color="auto"/>
          <w:color w:val="0000FF"/>
        </w:rPr>
      </w:pPr>
    </w:p>
    <w:p>
      <w:pPr>
        <w:jc w:val="both"/>
        <w:spacing w:after="0" w:line="232" w:lineRule="auto"/>
        <w:rPr>
          <w:rFonts w:ascii="Times New Roman" w:cs="Times New Roman" w:eastAsia="Times New Roman" w:hAnsi="Times New Roman"/>
          <w:sz w:val="16"/>
          <w:szCs w:val="16"/>
          <w:u w:val="single" w:color="auto"/>
          <w:color w:val="0000FF"/>
        </w:rPr>
      </w:pPr>
      <w:hyperlink r:id="rId110">
        <w:r>
          <w:rPr>
            <w:rFonts w:ascii="Times New Roman" w:cs="Times New Roman" w:eastAsia="Times New Roman" w:hAnsi="Times New Roman"/>
            <w:sz w:val="16"/>
            <w:szCs w:val="16"/>
            <w:u w:val="single" w:color="auto"/>
            <w:color w:val="0000FF"/>
          </w:rPr>
          <w:t>2021 Omnibus Incentive Plan (incorporated herein by reference to Exhibit 10.1 to</w:t>
        </w:r>
      </w:hyperlink>
      <w:r>
        <w:rPr>
          <w:rFonts w:ascii="Times New Roman" w:cs="Times New Roman" w:eastAsia="Times New Roman" w:hAnsi="Times New Roman"/>
          <w:sz w:val="16"/>
          <w:szCs w:val="16"/>
          <w:u w:val="single" w:color="auto"/>
          <w:color w:val="0000FF"/>
        </w:rPr>
        <w:t xml:space="preserve"> </w:t>
      </w:r>
      <w:hyperlink r:id="rId110">
        <w:r>
          <w:rPr>
            <w:rFonts w:ascii="Times New Roman" w:cs="Times New Roman" w:eastAsia="Times New Roman" w:hAnsi="Times New Roman"/>
            <w:sz w:val="16"/>
            <w:szCs w:val="16"/>
            <w:u w:val="single" w:color="auto"/>
            <w:color w:val="0000FF"/>
          </w:rPr>
          <w:t>the registrant’s Registration Statement on Form S-1 (File No. 333-255086), filed</w:t>
        </w:r>
      </w:hyperlink>
      <w:r>
        <w:rPr>
          <w:rFonts w:ascii="Times New Roman" w:cs="Times New Roman" w:eastAsia="Times New Roman" w:hAnsi="Times New Roman"/>
          <w:sz w:val="16"/>
          <w:szCs w:val="16"/>
          <w:u w:val="single" w:color="auto"/>
          <w:color w:val="0000FF"/>
        </w:rPr>
        <w:t xml:space="preserve"> </w:t>
      </w:r>
      <w:hyperlink r:id="rId110">
        <w:r>
          <w:rPr>
            <w:rFonts w:ascii="Times New Roman" w:cs="Times New Roman" w:eastAsia="Times New Roman" w:hAnsi="Times New Roman"/>
            <w:sz w:val="16"/>
            <w:szCs w:val="16"/>
            <w:u w:val="single" w:color="auto"/>
            <w:color w:val="0000FF"/>
          </w:rPr>
          <w:t>with the SEC on April 7,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27" w:lineRule="auto"/>
        <w:rPr>
          <w:rFonts w:ascii="Times New Roman" w:cs="Times New Roman" w:eastAsia="Times New Roman" w:hAnsi="Times New Roman"/>
          <w:sz w:val="16"/>
          <w:szCs w:val="16"/>
          <w:u w:val="single" w:color="auto"/>
          <w:color w:val="0000FF"/>
        </w:rPr>
      </w:pPr>
      <w:hyperlink r:id="rId111">
        <w:r>
          <w:rPr>
            <w:rFonts w:ascii="Times New Roman" w:cs="Times New Roman" w:eastAsia="Times New Roman" w:hAnsi="Times New Roman"/>
            <w:sz w:val="16"/>
            <w:szCs w:val="16"/>
            <w:u w:val="single" w:color="auto"/>
            <w:color w:val="0000FF"/>
          </w:rPr>
          <w:t>Employment Agreement between Privia Health Group, Inc. and Shawn Morris, dated</w:t>
        </w:r>
      </w:hyperlink>
      <w:r>
        <w:rPr>
          <w:rFonts w:ascii="Times New Roman" w:cs="Times New Roman" w:eastAsia="Times New Roman" w:hAnsi="Times New Roman"/>
          <w:sz w:val="16"/>
          <w:szCs w:val="16"/>
          <w:u w:val="single" w:color="auto"/>
          <w:color w:val="0000FF"/>
        </w:rPr>
        <w:t xml:space="preserve"> </w:t>
      </w:r>
      <w:hyperlink r:id="rId111">
        <w:r>
          <w:rPr>
            <w:rFonts w:ascii="Times New Roman" w:cs="Times New Roman" w:eastAsia="Times New Roman" w:hAnsi="Times New Roman"/>
            <w:sz w:val="16"/>
            <w:szCs w:val="16"/>
            <w:u w:val="single" w:color="auto"/>
            <w:color w:val="0000FF"/>
          </w:rPr>
          <w:t>April 13, 2018 (incorporated herein by reference to Exhibit 10.2 to the registrant’s</w:t>
        </w:r>
      </w:hyperlink>
      <w:r>
        <w:rPr>
          <w:rFonts w:ascii="Times New Roman" w:cs="Times New Roman" w:eastAsia="Times New Roman" w:hAnsi="Times New Roman"/>
          <w:sz w:val="16"/>
          <w:szCs w:val="16"/>
          <w:u w:val="single" w:color="auto"/>
          <w:color w:val="0000FF"/>
        </w:rPr>
        <w:t xml:space="preserve"> </w:t>
      </w:r>
      <w:hyperlink r:id="rId111">
        <w:r>
          <w:rPr>
            <w:rFonts w:ascii="Times New Roman" w:cs="Times New Roman" w:eastAsia="Times New Roman" w:hAnsi="Times New Roman"/>
            <w:sz w:val="16"/>
            <w:szCs w:val="16"/>
            <w:u w:val="single" w:color="auto"/>
            <w:color w:val="0000FF"/>
          </w:rPr>
          <w:t>Registration Statement on Form S-1 (File No. 333-255086), filed with the SEC on</w:t>
        </w:r>
      </w:hyperlink>
      <w:r>
        <w:rPr>
          <w:rFonts w:ascii="Times New Roman" w:cs="Times New Roman" w:eastAsia="Times New Roman" w:hAnsi="Times New Roman"/>
          <w:sz w:val="16"/>
          <w:szCs w:val="16"/>
          <w:u w:val="single" w:color="auto"/>
          <w:color w:val="0000FF"/>
        </w:rPr>
        <w:t xml:space="preserve"> </w:t>
      </w:r>
      <w:hyperlink r:id="rId111">
        <w:r>
          <w:rPr>
            <w:rFonts w:ascii="Times New Roman" w:cs="Times New Roman" w:eastAsia="Times New Roman" w:hAnsi="Times New Roman"/>
            <w:sz w:val="16"/>
            <w:szCs w:val="16"/>
            <w:u w:val="single" w:color="auto"/>
            <w:color w:val="0000FF"/>
          </w:rPr>
          <w:t>April 7,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12">
        <w:r>
          <w:rPr>
            <w:rFonts w:ascii="Times New Roman" w:cs="Times New Roman" w:eastAsia="Times New Roman" w:hAnsi="Times New Roman"/>
            <w:sz w:val="16"/>
            <w:szCs w:val="16"/>
            <w:u w:val="single" w:color="auto"/>
            <w:color w:val="0000FF"/>
          </w:rPr>
          <w:t>Employment Agreement first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12">
        <w:r>
          <w:rPr>
            <w:rFonts w:ascii="Times New Roman" w:cs="Times New Roman" w:eastAsia="Times New Roman" w:hAnsi="Times New Roman"/>
            <w:sz w:val="16"/>
            <w:szCs w:val="16"/>
            <w:u w:val="single" w:color="auto"/>
            <w:color w:val="0000FF"/>
          </w:rPr>
          <w:t>Shawn Morris, dated April 23, 2019</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13">
        <w:r>
          <w:rPr>
            <w:rFonts w:ascii="Times New Roman" w:cs="Times New Roman" w:eastAsia="Times New Roman" w:hAnsi="Times New Roman"/>
            <w:sz w:val="16"/>
            <w:szCs w:val="16"/>
            <w:u w:val="single" w:color="auto"/>
            <w:color w:val="0000FF"/>
          </w:rPr>
          <w:t>Employment Agreement second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13">
        <w:r>
          <w:rPr>
            <w:rFonts w:ascii="Times New Roman" w:cs="Times New Roman" w:eastAsia="Times New Roman" w:hAnsi="Times New Roman"/>
            <w:sz w:val="16"/>
            <w:szCs w:val="16"/>
            <w:u w:val="single" w:color="auto"/>
            <w:color w:val="0000FF"/>
          </w:rPr>
          <w:t>Shawn Morris, dated April 1, 2020</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14">
        <w:r>
          <w:rPr>
            <w:rFonts w:ascii="Times New Roman" w:cs="Times New Roman" w:eastAsia="Times New Roman" w:hAnsi="Times New Roman"/>
            <w:sz w:val="16"/>
            <w:szCs w:val="16"/>
            <w:u w:val="single" w:color="auto"/>
            <w:color w:val="0000FF"/>
          </w:rPr>
          <w:t>Employment Agreement third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14">
        <w:r>
          <w:rPr>
            <w:rFonts w:ascii="Times New Roman" w:cs="Times New Roman" w:eastAsia="Times New Roman" w:hAnsi="Times New Roman"/>
            <w:sz w:val="16"/>
            <w:szCs w:val="16"/>
            <w:u w:val="single" w:color="auto"/>
            <w:color w:val="0000FF"/>
          </w:rPr>
          <w:t>Shawn Morris, dated August 10, 2022</w:t>
        </w:r>
      </w:hyperlink>
    </w:p>
    <w:p>
      <w:pPr>
        <w:spacing w:after="0" w:line="56" w:lineRule="exact"/>
        <w:rPr>
          <w:sz w:val="20"/>
          <w:szCs w:val="20"/>
          <w:color w:val="auto"/>
        </w:rPr>
      </w:pPr>
    </w:p>
    <w:p>
      <w:pPr>
        <w:jc w:val="both"/>
        <w:spacing w:after="0" w:line="227" w:lineRule="auto"/>
        <w:rPr>
          <w:rFonts w:ascii="Times New Roman" w:cs="Times New Roman" w:eastAsia="Times New Roman" w:hAnsi="Times New Roman"/>
          <w:sz w:val="16"/>
          <w:szCs w:val="16"/>
          <w:u w:val="single" w:color="auto"/>
          <w:color w:val="0000FF"/>
        </w:rPr>
      </w:pPr>
      <w:hyperlink r:id="rId115">
        <w:r>
          <w:rPr>
            <w:rFonts w:ascii="Times New Roman" w:cs="Times New Roman" w:eastAsia="Times New Roman" w:hAnsi="Times New Roman"/>
            <w:sz w:val="16"/>
            <w:szCs w:val="16"/>
            <w:u w:val="single" w:color="auto"/>
            <w:color w:val="0000FF"/>
          </w:rPr>
          <w:t>Employment Agreement between Privia Health Group, Inc. and Parth Mehrotra,</w:t>
        </w:r>
      </w:hyperlink>
      <w:r>
        <w:rPr>
          <w:rFonts w:ascii="Times New Roman" w:cs="Times New Roman" w:eastAsia="Times New Roman" w:hAnsi="Times New Roman"/>
          <w:sz w:val="16"/>
          <w:szCs w:val="16"/>
          <w:u w:val="single" w:color="auto"/>
          <w:color w:val="0000FF"/>
        </w:rPr>
        <w:t xml:space="preserve"> </w:t>
      </w:r>
      <w:hyperlink r:id="rId115">
        <w:r>
          <w:rPr>
            <w:rFonts w:ascii="Times New Roman" w:cs="Times New Roman" w:eastAsia="Times New Roman" w:hAnsi="Times New Roman"/>
            <w:sz w:val="16"/>
            <w:szCs w:val="16"/>
            <w:u w:val="single" w:color="auto"/>
            <w:color w:val="0000FF"/>
          </w:rPr>
          <w:t>dated January 1, 2018 (incorporated herein by reference to Exhibit 10.3 to the</w:t>
        </w:r>
      </w:hyperlink>
      <w:r>
        <w:rPr>
          <w:rFonts w:ascii="Times New Roman" w:cs="Times New Roman" w:eastAsia="Times New Roman" w:hAnsi="Times New Roman"/>
          <w:sz w:val="16"/>
          <w:szCs w:val="16"/>
          <w:u w:val="single" w:color="auto"/>
          <w:color w:val="0000FF"/>
        </w:rPr>
        <w:t xml:space="preserve"> </w:t>
      </w:r>
      <w:hyperlink r:id="rId115">
        <w:r>
          <w:rPr>
            <w:rFonts w:ascii="Times New Roman" w:cs="Times New Roman" w:eastAsia="Times New Roman" w:hAnsi="Times New Roman"/>
            <w:sz w:val="16"/>
            <w:szCs w:val="16"/>
            <w:u w:val="single" w:color="auto"/>
            <w:color w:val="0000FF"/>
          </w:rPr>
          <w:t>registrant’s Registration Statement on Form S-1 (File No. 333-255086), filed with</w:t>
        </w:r>
      </w:hyperlink>
      <w:r>
        <w:rPr>
          <w:rFonts w:ascii="Times New Roman" w:cs="Times New Roman" w:eastAsia="Times New Roman" w:hAnsi="Times New Roman"/>
          <w:sz w:val="16"/>
          <w:szCs w:val="16"/>
          <w:u w:val="single" w:color="auto"/>
          <w:color w:val="0000FF"/>
        </w:rPr>
        <w:t xml:space="preserve"> </w:t>
      </w:r>
      <w:hyperlink r:id="rId115">
        <w:r>
          <w:rPr>
            <w:rFonts w:ascii="Times New Roman" w:cs="Times New Roman" w:eastAsia="Times New Roman" w:hAnsi="Times New Roman"/>
            <w:sz w:val="16"/>
            <w:szCs w:val="16"/>
            <w:u w:val="single" w:color="auto"/>
            <w:color w:val="0000FF"/>
          </w:rPr>
          <w:t>the SEC on April 7,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16">
        <w:r>
          <w:rPr>
            <w:rFonts w:ascii="Times New Roman" w:cs="Times New Roman" w:eastAsia="Times New Roman" w:hAnsi="Times New Roman"/>
            <w:sz w:val="16"/>
            <w:szCs w:val="16"/>
            <w:u w:val="single" w:color="auto"/>
            <w:color w:val="0000FF"/>
          </w:rPr>
          <w:t>Employment Agreement first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16">
        <w:r>
          <w:rPr>
            <w:rFonts w:ascii="Times New Roman" w:cs="Times New Roman" w:eastAsia="Times New Roman" w:hAnsi="Times New Roman"/>
            <w:sz w:val="16"/>
            <w:szCs w:val="16"/>
            <w:u w:val="single" w:color="auto"/>
            <w:color w:val="0000FF"/>
          </w:rPr>
          <w:t>Parth Mehrotra, dated April 1, 2020</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17">
        <w:r>
          <w:rPr>
            <w:rFonts w:ascii="Times New Roman" w:cs="Times New Roman" w:eastAsia="Times New Roman" w:hAnsi="Times New Roman"/>
            <w:sz w:val="16"/>
            <w:szCs w:val="16"/>
            <w:u w:val="single" w:color="auto"/>
            <w:color w:val="0000FF"/>
          </w:rPr>
          <w:t>Annual Merit Increase and Bonus Payment Memo for Parth Mehrotra dated March</w:t>
        </w:r>
      </w:hyperlink>
      <w:r>
        <w:rPr>
          <w:rFonts w:ascii="Times New Roman" w:cs="Times New Roman" w:eastAsia="Times New Roman" w:hAnsi="Times New Roman"/>
          <w:sz w:val="16"/>
          <w:szCs w:val="16"/>
          <w:u w:val="single" w:color="auto"/>
          <w:color w:val="0000FF"/>
        </w:rPr>
        <w:t xml:space="preserve"> </w:t>
      </w:r>
      <w:hyperlink r:id="rId117">
        <w:r>
          <w:rPr>
            <w:rFonts w:ascii="Times New Roman" w:cs="Times New Roman" w:eastAsia="Times New Roman" w:hAnsi="Times New Roman"/>
            <w:sz w:val="16"/>
            <w:szCs w:val="16"/>
            <w:u w:val="single" w:color="auto"/>
            <w:color w:val="0000FF"/>
          </w:rPr>
          <w:t>12, 2021</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18">
        <w:r>
          <w:rPr>
            <w:rFonts w:ascii="Times New Roman" w:cs="Times New Roman" w:eastAsia="Times New Roman" w:hAnsi="Times New Roman"/>
            <w:sz w:val="16"/>
            <w:szCs w:val="16"/>
            <w:u w:val="single" w:color="auto"/>
            <w:color w:val="0000FF"/>
          </w:rPr>
          <w:t>Employment Agreement second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18">
        <w:r>
          <w:rPr>
            <w:rFonts w:ascii="Times New Roman" w:cs="Times New Roman" w:eastAsia="Times New Roman" w:hAnsi="Times New Roman"/>
            <w:sz w:val="16"/>
            <w:szCs w:val="16"/>
            <w:u w:val="single" w:color="auto"/>
            <w:color w:val="0000FF"/>
          </w:rPr>
          <w:t>Parth Mehrotra, dated April 16, 2021</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Employment Agreement third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19">
        <w:r>
          <w:rPr>
            <w:rFonts w:ascii="Times New Roman" w:cs="Times New Roman" w:eastAsia="Times New Roman" w:hAnsi="Times New Roman"/>
            <w:sz w:val="16"/>
            <w:szCs w:val="16"/>
            <w:u w:val="single" w:color="auto"/>
            <w:color w:val="0000FF"/>
          </w:rPr>
          <w:t>Parth Mehrotra, dated August 10, 2022</w:t>
        </w:r>
      </w:hyperlink>
    </w:p>
    <w:p>
      <w:pPr>
        <w:spacing w:after="0" w:line="56" w:lineRule="exact"/>
        <w:rPr>
          <w:sz w:val="20"/>
          <w:szCs w:val="20"/>
          <w:color w:val="auto"/>
        </w:rPr>
      </w:pPr>
    </w:p>
    <w:p>
      <w:pPr>
        <w:jc w:val="both"/>
        <w:spacing w:after="0" w:line="227" w:lineRule="auto"/>
        <w:rPr>
          <w:rFonts w:ascii="Times New Roman" w:cs="Times New Roman" w:eastAsia="Times New Roman" w:hAnsi="Times New Roman"/>
          <w:sz w:val="16"/>
          <w:szCs w:val="16"/>
          <w:u w:val="single" w:color="auto"/>
          <w:color w:val="0000FF"/>
        </w:rPr>
      </w:pPr>
      <w:hyperlink r:id="rId120">
        <w:r>
          <w:rPr>
            <w:rFonts w:ascii="Times New Roman" w:cs="Times New Roman" w:eastAsia="Times New Roman" w:hAnsi="Times New Roman"/>
            <w:sz w:val="16"/>
            <w:szCs w:val="16"/>
            <w:u w:val="single" w:color="auto"/>
            <w:color w:val="0000FF"/>
          </w:rPr>
          <w:t>Employment Agreement between Privia Health Group, Inc. and Thomas Bartrum,</w:t>
        </w:r>
      </w:hyperlink>
      <w:r>
        <w:rPr>
          <w:rFonts w:ascii="Times New Roman" w:cs="Times New Roman" w:eastAsia="Times New Roman" w:hAnsi="Times New Roman"/>
          <w:sz w:val="16"/>
          <w:szCs w:val="16"/>
          <w:u w:val="single" w:color="auto"/>
          <w:color w:val="0000FF"/>
        </w:rPr>
        <w:t xml:space="preserve"> </w:t>
      </w:r>
      <w:hyperlink r:id="rId120">
        <w:r>
          <w:rPr>
            <w:rFonts w:ascii="Times New Roman" w:cs="Times New Roman" w:eastAsia="Times New Roman" w:hAnsi="Times New Roman"/>
            <w:sz w:val="16"/>
            <w:szCs w:val="16"/>
            <w:u w:val="single" w:color="auto"/>
            <w:color w:val="0000FF"/>
          </w:rPr>
          <w:t>dated February 25, 2019 (incorporated herein by reference to Exhibit 10.4 to the</w:t>
        </w:r>
      </w:hyperlink>
      <w:r>
        <w:rPr>
          <w:rFonts w:ascii="Times New Roman" w:cs="Times New Roman" w:eastAsia="Times New Roman" w:hAnsi="Times New Roman"/>
          <w:sz w:val="16"/>
          <w:szCs w:val="16"/>
          <w:u w:val="single" w:color="auto"/>
          <w:color w:val="0000FF"/>
        </w:rPr>
        <w:t xml:space="preserve"> </w:t>
      </w:r>
      <w:hyperlink r:id="rId120">
        <w:r>
          <w:rPr>
            <w:rFonts w:ascii="Times New Roman" w:cs="Times New Roman" w:eastAsia="Times New Roman" w:hAnsi="Times New Roman"/>
            <w:sz w:val="16"/>
            <w:szCs w:val="16"/>
            <w:u w:val="single" w:color="auto"/>
            <w:color w:val="0000FF"/>
          </w:rPr>
          <w:t>registrant’s Registration Statement on Form S-1 (File No. 333-255086), filed with</w:t>
        </w:r>
      </w:hyperlink>
      <w:r>
        <w:rPr>
          <w:rFonts w:ascii="Times New Roman" w:cs="Times New Roman" w:eastAsia="Times New Roman" w:hAnsi="Times New Roman"/>
          <w:sz w:val="16"/>
          <w:szCs w:val="16"/>
          <w:u w:val="single" w:color="auto"/>
          <w:color w:val="0000FF"/>
        </w:rPr>
        <w:t xml:space="preserve"> </w:t>
      </w:r>
      <w:hyperlink r:id="rId120">
        <w:r>
          <w:rPr>
            <w:rFonts w:ascii="Times New Roman" w:cs="Times New Roman" w:eastAsia="Times New Roman" w:hAnsi="Times New Roman"/>
            <w:sz w:val="16"/>
            <w:szCs w:val="16"/>
            <w:u w:val="single" w:color="auto"/>
            <w:color w:val="0000FF"/>
          </w:rPr>
          <w:t>the SEC on April 7,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21">
        <w:r>
          <w:rPr>
            <w:rFonts w:ascii="Times New Roman" w:cs="Times New Roman" w:eastAsia="Times New Roman" w:hAnsi="Times New Roman"/>
            <w:sz w:val="16"/>
            <w:szCs w:val="16"/>
            <w:u w:val="single" w:color="auto"/>
            <w:color w:val="0000FF"/>
          </w:rPr>
          <w:t>Employment Agreement, between Privia Health Group, Inc. and David Mountcastle</w:t>
        </w:r>
      </w:hyperlink>
      <w:r>
        <w:rPr>
          <w:rFonts w:ascii="Times New Roman" w:cs="Times New Roman" w:eastAsia="Times New Roman" w:hAnsi="Times New Roman"/>
          <w:sz w:val="16"/>
          <w:szCs w:val="16"/>
          <w:u w:val="single" w:color="auto"/>
          <w:color w:val="0000FF"/>
        </w:rPr>
        <w:t xml:space="preserve"> </w:t>
      </w:r>
      <w:hyperlink r:id="rId121">
        <w:r>
          <w:rPr>
            <w:rFonts w:ascii="Times New Roman" w:cs="Times New Roman" w:eastAsia="Times New Roman" w:hAnsi="Times New Roman"/>
            <w:sz w:val="16"/>
            <w:szCs w:val="16"/>
            <w:u w:val="single" w:color="auto"/>
            <w:color w:val="0000FF"/>
          </w:rPr>
          <w:t>dated as of March 21, 2022.</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22">
        <w:r>
          <w:rPr>
            <w:rFonts w:ascii="Times New Roman" w:cs="Times New Roman" w:eastAsia="Times New Roman" w:hAnsi="Times New Roman"/>
            <w:sz w:val="16"/>
            <w:szCs w:val="16"/>
            <w:u w:val="single" w:color="auto"/>
            <w:color w:val="0000FF"/>
          </w:rPr>
          <w:t>Employment Agreement first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22">
        <w:r>
          <w:rPr>
            <w:rFonts w:ascii="Times New Roman" w:cs="Times New Roman" w:eastAsia="Times New Roman" w:hAnsi="Times New Roman"/>
            <w:sz w:val="16"/>
            <w:szCs w:val="16"/>
            <w:u w:val="single" w:color="auto"/>
            <w:color w:val="0000FF"/>
          </w:rPr>
          <w:t>David Mountcastle, dated August 10, 2022</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23">
        <w:r>
          <w:rPr>
            <w:rFonts w:ascii="Times New Roman" w:cs="Times New Roman" w:eastAsia="Times New Roman" w:hAnsi="Times New Roman"/>
            <w:sz w:val="16"/>
            <w:szCs w:val="16"/>
            <w:u w:val="single" w:color="auto"/>
            <w:color w:val="0000FF"/>
          </w:rPr>
          <w:t>Employment Agreement first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23">
        <w:r>
          <w:rPr>
            <w:rFonts w:ascii="Times New Roman" w:cs="Times New Roman" w:eastAsia="Times New Roman" w:hAnsi="Times New Roman"/>
            <w:sz w:val="16"/>
            <w:szCs w:val="16"/>
            <w:u w:val="single" w:color="auto"/>
            <w:color w:val="0000FF"/>
          </w:rPr>
          <w:t>Thomas Bartrum, dated April 1, 2020</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24">
        <w:r>
          <w:rPr>
            <w:rFonts w:ascii="Times New Roman" w:cs="Times New Roman" w:eastAsia="Times New Roman" w:hAnsi="Times New Roman"/>
            <w:sz w:val="16"/>
            <w:szCs w:val="16"/>
            <w:u w:val="single" w:color="auto"/>
            <w:color w:val="0000FF"/>
          </w:rPr>
          <w:t>Employment Agreement second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24">
        <w:r>
          <w:rPr>
            <w:rFonts w:ascii="Times New Roman" w:cs="Times New Roman" w:eastAsia="Times New Roman" w:hAnsi="Times New Roman"/>
            <w:sz w:val="16"/>
            <w:szCs w:val="16"/>
            <w:u w:val="single" w:color="auto"/>
            <w:color w:val="0000FF"/>
          </w:rPr>
          <w:t>Thomas Bartrum, dated April 16, 2021</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25">
        <w:r>
          <w:rPr>
            <w:rFonts w:ascii="Times New Roman" w:cs="Times New Roman" w:eastAsia="Times New Roman" w:hAnsi="Times New Roman"/>
            <w:sz w:val="16"/>
            <w:szCs w:val="16"/>
            <w:u w:val="single" w:color="auto"/>
            <w:color w:val="0000FF"/>
          </w:rPr>
          <w:t>Employment Agreement third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Thomas Bartrum, dated March 24, 2022</w:t>
        </w:r>
      </w:hyperlink>
    </w:p>
    <w:p>
      <w:pPr>
        <w:spacing w:after="0" w:line="56" w:lineRule="exact"/>
        <w:rPr>
          <w:sz w:val="20"/>
          <w:szCs w:val="20"/>
          <w:color w:val="auto"/>
        </w:rPr>
      </w:pPr>
    </w:p>
    <w:p>
      <w:pPr>
        <w:jc w:val="both"/>
        <w:ind w:right="20"/>
        <w:spacing w:after="0" w:line="245" w:lineRule="auto"/>
        <w:rPr>
          <w:rFonts w:ascii="Times New Roman" w:cs="Times New Roman" w:eastAsia="Times New Roman" w:hAnsi="Times New Roman"/>
          <w:sz w:val="16"/>
          <w:szCs w:val="16"/>
          <w:u w:val="single" w:color="auto"/>
          <w:color w:val="0000FF"/>
        </w:rPr>
      </w:pPr>
      <w:hyperlink r:id="rId126">
        <w:r>
          <w:rPr>
            <w:rFonts w:ascii="Times New Roman" w:cs="Times New Roman" w:eastAsia="Times New Roman" w:hAnsi="Times New Roman"/>
            <w:sz w:val="16"/>
            <w:szCs w:val="16"/>
            <w:u w:val="single" w:color="auto"/>
            <w:color w:val="0000FF"/>
          </w:rPr>
          <w:t>Employment Agreement fourth amendment between Privia Health Group, Inc. and</w:t>
        </w:r>
      </w:hyperlink>
      <w:r>
        <w:rPr>
          <w:rFonts w:ascii="Times New Roman" w:cs="Times New Roman" w:eastAsia="Times New Roman" w:hAnsi="Times New Roman"/>
          <w:sz w:val="16"/>
          <w:szCs w:val="16"/>
          <w:u w:val="single" w:color="auto"/>
          <w:color w:val="0000FF"/>
        </w:rPr>
        <w:t xml:space="preserve"> </w:t>
      </w:r>
      <w:hyperlink r:id="rId126">
        <w:r>
          <w:rPr>
            <w:rFonts w:ascii="Times New Roman" w:cs="Times New Roman" w:eastAsia="Times New Roman" w:hAnsi="Times New Roman"/>
            <w:sz w:val="16"/>
            <w:szCs w:val="16"/>
            <w:u w:val="single" w:color="auto"/>
            <w:color w:val="0000FF"/>
          </w:rPr>
          <w:t>Thomas Bartrum, dated August 10, 2022</w:t>
        </w:r>
      </w:hyperlink>
    </w:p>
    <w:p>
      <w:pPr>
        <w:spacing w:after="0" w:line="56" w:lineRule="exact"/>
        <w:rPr>
          <w:sz w:val="20"/>
          <w:szCs w:val="20"/>
          <w:color w:val="auto"/>
        </w:rPr>
      </w:pPr>
    </w:p>
    <w:p>
      <w:pPr>
        <w:jc w:val="both"/>
        <w:spacing w:after="0" w:line="232" w:lineRule="auto"/>
        <w:rPr>
          <w:rFonts w:ascii="Times New Roman" w:cs="Times New Roman" w:eastAsia="Times New Roman" w:hAnsi="Times New Roman"/>
          <w:sz w:val="16"/>
          <w:szCs w:val="16"/>
          <w:u w:val="single" w:color="auto"/>
          <w:color w:val="0000FF"/>
        </w:rPr>
      </w:pPr>
      <w:hyperlink r:id="rId127">
        <w:r>
          <w:rPr>
            <w:rFonts w:ascii="Times New Roman" w:cs="Times New Roman" w:eastAsia="Times New Roman" w:hAnsi="Times New Roman"/>
            <w:sz w:val="16"/>
            <w:szCs w:val="16"/>
            <w:u w:val="single" w:color="auto"/>
            <w:color w:val="0000FF"/>
          </w:rPr>
          <w:t>Employment Agreement, between Privia Health Group, Inc. and Jeffrey S. Sherman</w:t>
        </w:r>
      </w:hyperlink>
      <w:r>
        <w:rPr>
          <w:rFonts w:ascii="Times New Roman" w:cs="Times New Roman" w:eastAsia="Times New Roman" w:hAnsi="Times New Roman"/>
          <w:sz w:val="16"/>
          <w:szCs w:val="16"/>
          <w:u w:val="single" w:color="auto"/>
          <w:color w:val="0000FF"/>
        </w:rPr>
        <w:t xml:space="preserve"> </w:t>
      </w:r>
      <w:hyperlink r:id="rId127">
        <w:r>
          <w:rPr>
            <w:rFonts w:ascii="Times New Roman" w:cs="Times New Roman" w:eastAsia="Times New Roman" w:hAnsi="Times New Roman"/>
            <w:sz w:val="16"/>
            <w:szCs w:val="16"/>
            <w:u w:val="single" w:color="auto"/>
            <w:color w:val="0000FF"/>
          </w:rPr>
          <w:t>dated as of January 2, 2022,(incorporated herein by reference to Exhibit 10.1 to 8-K</w:t>
        </w:r>
      </w:hyperlink>
      <w:r>
        <w:rPr>
          <w:rFonts w:ascii="Times New Roman" w:cs="Times New Roman" w:eastAsia="Times New Roman" w:hAnsi="Times New Roman"/>
          <w:sz w:val="16"/>
          <w:szCs w:val="16"/>
          <w:u w:val="single" w:color="auto"/>
          <w:color w:val="0000FF"/>
        </w:rPr>
        <w:t xml:space="preserve"> </w:t>
      </w:r>
      <w:hyperlink r:id="rId127">
        <w:r>
          <w:rPr>
            <w:rFonts w:ascii="Times New Roman" w:cs="Times New Roman" w:eastAsia="Times New Roman" w:hAnsi="Times New Roman"/>
            <w:sz w:val="16"/>
            <w:szCs w:val="16"/>
            <w:u w:val="single" w:color="auto"/>
            <w:color w:val="0000FF"/>
          </w:rPr>
          <w:t>(File No. 001-40365), filed with the SEC on January 6, 2022)</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142" w:lineRule="exact"/>
        <w:rPr>
          <w:rFonts w:ascii="Times New Roman" w:cs="Times New Roman" w:eastAsia="Times New Roman" w:hAnsi="Times New Roman"/>
          <w:sz w:val="16"/>
          <w:szCs w:val="16"/>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r>
      <w:tr>
        <w:trPr>
          <w:trHeight w:val="67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07/31/2023</w:t>
            </w:r>
          </w:p>
        </w:tc>
      </w:tr>
      <w:tr>
        <w:trPr>
          <w:trHeight w:val="67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r>
      <w:tr>
        <w:trPr>
          <w:trHeight w:val="67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04/07/2021</w:t>
            </w: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03/22/2022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221-155713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08/11/2022</w:t>
            </w:r>
          </w:p>
        </w:tc>
      </w:tr>
      <w:tr>
        <w:trPr>
          <w:trHeight w:val="51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01/06/2022</w:t>
            </w:r>
          </w:p>
        </w:tc>
      </w:tr>
    </w:tbl>
    <w:p>
      <w:pPr>
        <w:spacing w:after="0" w:line="361" w:lineRule="exact"/>
        <w:rPr>
          <w:rFonts w:ascii="Times New Roman" w:cs="Times New Roman" w:eastAsia="Times New Roman" w:hAnsi="Times New Roman"/>
          <w:sz w:val="16"/>
          <w:szCs w:val="16"/>
          <w:u w:val="single" w:color="auto"/>
          <w:color w:val="0000FF"/>
        </w:rPr>
      </w:pPr>
    </w:p>
    <w:p>
      <w:pPr>
        <w:sectPr>
          <w:pgSz w:w="11900" w:h="16838" w:orient="portrait"/>
          <w:cols w:equalWidth="0" w:num="3">
            <w:col w:w="780" w:space="320"/>
            <w:col w:w="5540" w:space="100"/>
            <w:col w:w="4460"/>
          </w:cols>
          <w:pgMar w:left="320" w:top="121" w:right="379" w:bottom="1440" w:gutter="0" w:footer="0" w:header="0"/>
          <w:type w:val="continuous"/>
        </w:sectPr>
      </w:pPr>
    </w:p>
    <w:p>
      <w:pPr>
        <w:spacing w:after="0" w:line="355" w:lineRule="exact"/>
        <w:rPr>
          <w:rFonts w:ascii="Times New Roman" w:cs="Times New Roman" w:eastAsia="Times New Roman" w:hAnsi="Times New Roman"/>
          <w:sz w:val="16"/>
          <w:szCs w:val="16"/>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0820"/>
          </w:cols>
          <w:pgMar w:left="320" w:top="12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10.18+</w:t>
            </w:r>
            <w:r>
              <w:rPr>
                <w:rFonts w:ascii="Times New Roman" w:cs="Times New Roman" w:eastAsia="Times New Roman" w:hAnsi="Times New Roman"/>
                <w:sz w:val="17"/>
                <w:szCs w:val="17"/>
                <w:color w:val="auto"/>
              </w:rPr>
              <w:t>§</w:t>
            </w:r>
          </w:p>
        </w:tc>
        <w:tc>
          <w:tcPr>
            <w:tcW w:w="560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Separation and Release of Claims Agreement, dated as of March 21, 2022, between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460" w:type="dxa"/>
            <w:vAlign w:val="bottom"/>
            <w:tcBorders>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the Company and Jeffrey S. Sherman.</w:t>
              </w:r>
            </w:hyperlink>
          </w:p>
        </w:tc>
        <w:tc>
          <w:tcPr>
            <w:tcW w:w="314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10.19+</w:t>
            </w:r>
          </w:p>
        </w:tc>
        <w:tc>
          <w:tcPr>
            <w:tcW w:w="582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Shareholder Rights Agreement between Privia Health Group, Inc. and the</w:t>
              </w:r>
            </w:hyperlink>
          </w:p>
        </w:tc>
        <w:tc>
          <w:tcPr>
            <w:tcW w:w="1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1940" w:type="dxa"/>
            <w:vAlign w:val="bottom"/>
            <w:gridSpan w:val="7"/>
            <w:vMerge w:val="restart"/>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other signatories party thereto</w:t>
              </w:r>
            </w:hyperlink>
          </w:p>
        </w:tc>
        <w:tc>
          <w:tcPr>
            <w:tcW w:w="3980" w:type="dxa"/>
            <w:vAlign w:val="bottom"/>
            <w:gridSpan w:val="34"/>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80" w:type="dxa"/>
            <w:vAlign w:val="bottom"/>
          </w:tcPr>
          <w:p>
            <w:pPr>
              <w:spacing w:after="0"/>
              <w:rPr>
                <w:sz w:val="5"/>
                <w:szCs w:val="5"/>
                <w:color w:val="auto"/>
              </w:rPr>
            </w:pPr>
          </w:p>
        </w:tc>
        <w:tc>
          <w:tcPr>
            <w:tcW w:w="1940" w:type="dxa"/>
            <w:vAlign w:val="bottom"/>
            <w:tcBorders>
              <w:bottom w:val="single" w:sz="8" w:color="0000FF"/>
            </w:tcBorders>
            <w:gridSpan w:val="7"/>
            <w:vMerge w:val="continue"/>
          </w:tcPr>
          <w:p>
            <w:pPr>
              <w:spacing w:after="0"/>
              <w:rPr>
                <w:sz w:val="5"/>
                <w:szCs w:val="5"/>
                <w:color w:val="auto"/>
              </w:rPr>
            </w:pPr>
          </w:p>
        </w:tc>
        <w:tc>
          <w:tcPr>
            <w:tcW w:w="398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10.20+</w:t>
            </w:r>
          </w:p>
        </w:tc>
        <w:tc>
          <w:tcPr>
            <w:tcW w:w="578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Form of Registration Rights Agreement between Privia Health Group, Inc. and the</w:t>
              </w:r>
            </w:hyperlink>
          </w:p>
        </w:tc>
        <w:tc>
          <w:tcPr>
            <w:tcW w:w="1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1940" w:type="dxa"/>
            <w:vAlign w:val="bottom"/>
            <w:gridSpan w:val="7"/>
            <w:vMerge w:val="restart"/>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other signatories party thereto</w:t>
              </w:r>
            </w:hyperlink>
          </w:p>
        </w:tc>
        <w:tc>
          <w:tcPr>
            <w:tcW w:w="3980" w:type="dxa"/>
            <w:vAlign w:val="bottom"/>
            <w:gridSpan w:val="34"/>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80" w:type="dxa"/>
            <w:vAlign w:val="bottom"/>
          </w:tcPr>
          <w:p>
            <w:pPr>
              <w:spacing w:after="0"/>
              <w:rPr>
                <w:sz w:val="5"/>
                <w:szCs w:val="5"/>
                <w:color w:val="auto"/>
              </w:rPr>
            </w:pPr>
          </w:p>
        </w:tc>
        <w:tc>
          <w:tcPr>
            <w:tcW w:w="1940" w:type="dxa"/>
            <w:vAlign w:val="bottom"/>
            <w:tcBorders>
              <w:bottom w:val="single" w:sz="8" w:color="0000FF"/>
            </w:tcBorders>
            <w:gridSpan w:val="7"/>
            <w:vMerge w:val="continue"/>
          </w:tcPr>
          <w:p>
            <w:pPr>
              <w:spacing w:after="0"/>
              <w:rPr>
                <w:sz w:val="5"/>
                <w:szCs w:val="5"/>
                <w:color w:val="auto"/>
              </w:rPr>
            </w:pPr>
          </w:p>
        </w:tc>
        <w:tc>
          <w:tcPr>
            <w:tcW w:w="3980" w:type="dxa"/>
            <w:vAlign w:val="bottom"/>
            <w:gridSpan w:val="3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10.21+</w:t>
            </w:r>
            <w:r>
              <w:rPr>
                <w:rFonts w:ascii="Times New Roman" w:cs="Times New Roman" w:eastAsia="Times New Roman" w:hAnsi="Times New Roman"/>
                <w:sz w:val="17"/>
                <w:szCs w:val="17"/>
                <w:color w:val="auto"/>
              </w:rPr>
              <w:t>§</w:t>
            </w:r>
          </w:p>
        </w:tc>
        <w:tc>
          <w:tcPr>
            <w:tcW w:w="5920" w:type="dxa"/>
            <w:vAlign w:val="bottom"/>
            <w:gridSpan w:val="41"/>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Employee Stock Purchase Plan (incorporated herein by reference to Exhibit 10.7 to</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720" w:type="dxa"/>
            <w:vAlign w:val="bottom"/>
            <w:tcBorders>
              <w:top w:val="single" w:sz="8" w:color="0000FF"/>
              <w:bottom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the registrant’s Registration Statement on Form S-1 (File No. 333-255086), filed with</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780" w:type="dxa"/>
            <w:vAlign w:val="bottom"/>
            <w:tcBorders>
              <w:bottom w:val="single" w:sz="8" w:color="0000FF"/>
            </w:tcBorders>
            <w:gridSpan w:val="5"/>
          </w:tcPr>
          <w:p>
            <w:pPr>
              <w:spacing w:after="0" w:line="142" w:lineRule="exact"/>
              <w:rPr>
                <w:rFonts w:ascii="Times New Roman" w:cs="Times New Roman" w:eastAsia="Times New Roman" w:hAnsi="Times New Roman"/>
                <w:sz w:val="16"/>
                <w:szCs w:val="16"/>
                <w:color w:val="0000FF"/>
                <w:w w:val="99"/>
              </w:rPr>
            </w:pPr>
            <w:hyperlink r:id="rId132">
              <w:r>
                <w:rPr>
                  <w:rFonts w:ascii="Times New Roman" w:cs="Times New Roman" w:eastAsia="Times New Roman" w:hAnsi="Times New Roman"/>
                  <w:sz w:val="16"/>
                  <w:szCs w:val="16"/>
                  <w:color w:val="0000FF"/>
                  <w:w w:val="99"/>
                </w:rPr>
                <w:t>the SEC on April 22, 2021)</w:t>
              </w:r>
            </w:hyperlink>
          </w:p>
        </w:tc>
        <w:tc>
          <w:tcPr>
            <w:tcW w:w="4020" w:type="dxa"/>
            <w:vAlign w:val="bottom"/>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10.22+</w:t>
            </w:r>
            <w:r>
              <w:rPr>
                <w:rFonts w:ascii="Times New Roman" w:cs="Times New Roman" w:eastAsia="Times New Roman" w:hAnsi="Times New Roman"/>
                <w:sz w:val="17"/>
                <w:szCs w:val="17"/>
                <w:color w:val="auto"/>
              </w:rPr>
              <w:t>§</w:t>
            </w:r>
          </w:p>
        </w:tc>
        <w:tc>
          <w:tcPr>
            <w:tcW w:w="5920" w:type="dxa"/>
            <w:vAlign w:val="bottom"/>
            <w:gridSpan w:val="41"/>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2021  Omnibus  Plan  Restricted  Stock  Unit  Award  for  Employees</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580" w:type="dxa"/>
            <w:vAlign w:val="bottom"/>
            <w:tcBorders>
              <w:top w:val="single" w:sz="8" w:color="0000FF"/>
              <w:bottom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(incorporated herein by reference to Exhibit 10.8 to the registrant’s Registration</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540" w:type="dxa"/>
            <w:vAlign w:val="bottom"/>
            <w:tcBorders>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Statement on Form S-1 (File No. 333-255086), filed with the SEC on April 22, 2021)</w:t>
              </w:r>
            </w:hyperlink>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920" w:type="dxa"/>
            <w:vAlign w:val="bottom"/>
            <w:gridSpan w:val="41"/>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Form of 2021 Omnibus Plan Restricted Stock Unit Award for Non-Employee</w:t>
              </w:r>
            </w:hyperlink>
          </w:p>
        </w:tc>
        <w:tc>
          <w:tcPr>
            <w:tcW w:w="0" w:type="dxa"/>
            <w:vAlign w:val="bottom"/>
          </w:tcPr>
          <w:p>
            <w:pPr>
              <w:spacing w:after="0"/>
              <w:rPr>
                <w:sz w:val="1"/>
                <w:szCs w:val="1"/>
                <w:color w:val="auto"/>
              </w:rPr>
            </w:pPr>
          </w:p>
        </w:tc>
      </w:tr>
      <w:tr>
        <w:trPr>
          <w:trHeight w:val="142"/>
        </w:trPr>
        <w:tc>
          <w:tcPr>
            <w:tcW w:w="880" w:type="dxa"/>
            <w:vAlign w:val="bottom"/>
          </w:tcPr>
          <w:p>
            <w:pPr>
              <w:jc w:val="center"/>
              <w:ind w:right="239"/>
              <w:spacing w:after="0" w:line="142" w:lineRule="exact"/>
              <w:rPr>
                <w:sz w:val="20"/>
                <w:szCs w:val="20"/>
                <w:color w:val="auto"/>
              </w:rPr>
            </w:pPr>
            <w:r>
              <w:rPr>
                <w:rFonts w:ascii="Times New Roman" w:cs="Times New Roman" w:eastAsia="Times New Roman" w:hAnsi="Times New Roman"/>
                <w:sz w:val="15"/>
                <w:szCs w:val="15"/>
                <w:color w:val="auto"/>
              </w:rPr>
              <w:t>10.23+</w:t>
            </w:r>
            <w:r>
              <w:rPr>
                <w:rFonts w:ascii="Times New Roman" w:cs="Times New Roman" w:eastAsia="Times New Roman" w:hAnsi="Times New Roman"/>
                <w:sz w:val="16"/>
                <w:szCs w:val="16"/>
                <w:color w:val="auto"/>
              </w:rPr>
              <w:t>§</w:t>
            </w:r>
          </w:p>
        </w:tc>
        <w:tc>
          <w:tcPr>
            <w:tcW w:w="5560" w:type="dxa"/>
            <w:vAlign w:val="bottom"/>
            <w:tcBorders>
              <w:top w:val="single" w:sz="8" w:color="0000FF"/>
              <w:bottom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Directors (incorporated herein by reference to Exhibit 10.9 to the registrant’s</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00" w:type="dxa"/>
            <w:vAlign w:val="bottom"/>
            <w:gridSpan w:val="30"/>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Registration Statement on Form S-1 (File No. 333-255086), filed with the SEC on</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134">
              <w:r>
                <w:rPr>
                  <w:rFonts w:ascii="Times New Roman" w:cs="Times New Roman" w:eastAsia="Times New Roman" w:hAnsi="Times New Roman"/>
                  <w:sz w:val="16"/>
                  <w:szCs w:val="16"/>
                  <w:color w:val="0000FF"/>
                  <w:w w:val="98"/>
                </w:rPr>
                <w:t>April 22, 2021)</w:t>
              </w:r>
            </w:hyperlink>
          </w:p>
        </w:tc>
        <w:tc>
          <w:tcPr>
            <w:tcW w:w="46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10.24+</w:t>
            </w:r>
            <w:r>
              <w:rPr>
                <w:rFonts w:ascii="Times New Roman" w:cs="Times New Roman" w:eastAsia="Times New Roman" w:hAnsi="Times New Roman"/>
                <w:sz w:val="17"/>
                <w:szCs w:val="17"/>
                <w:color w:val="auto"/>
              </w:rPr>
              <w:t>§</w:t>
            </w:r>
          </w:p>
        </w:tc>
        <w:tc>
          <w:tcPr>
            <w:tcW w:w="5920" w:type="dxa"/>
            <w:vAlign w:val="bottom"/>
            <w:gridSpan w:val="41"/>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Form of 2021 Omnibus Plan Stock Option Award (incorporated herein by reference</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68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to Exhibit 10.10 to the registrant’s Registration Statement on Form S-1 (File No.</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333-255086), filed with the SEC on April 22, 2021)</w:t>
              </w:r>
            </w:hyperlink>
          </w:p>
        </w:tc>
        <w:tc>
          <w:tcPr>
            <w:tcW w:w="22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10.25+</w:t>
            </w:r>
            <w:r>
              <w:rPr>
                <w:rFonts w:ascii="Times New Roman" w:cs="Times New Roman" w:eastAsia="Times New Roman" w:hAnsi="Times New Roman"/>
                <w:sz w:val="17"/>
                <w:szCs w:val="17"/>
                <w:color w:val="auto"/>
              </w:rPr>
              <w:t>§</w:t>
            </w:r>
          </w:p>
        </w:tc>
        <w:tc>
          <w:tcPr>
            <w:tcW w:w="578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Amendment No. 1 to the Registration Rights Agreement between Privia Health</w:t>
              </w:r>
            </w:hyperlink>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80" w:type="dxa"/>
            <w:vAlign w:val="bottom"/>
            <w:gridSpan w:val="34"/>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Group, Inc. and the other signatories party thereto dated October 29,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5920" w:type="dxa"/>
            <w:vAlign w:val="bottom"/>
            <w:gridSpan w:val="41"/>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Assumption Agreement and Third Amendment to the Credit Agreement, dated</w:t>
              </w:r>
            </w:hyperlink>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8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August 27, 2021, by and among Privia Health Group, Inc., as parent guarantor, Privia</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10.26 +</w:t>
            </w:r>
          </w:p>
        </w:tc>
        <w:tc>
          <w:tcPr>
            <w:tcW w:w="5540" w:type="dxa"/>
            <w:vAlign w:val="bottom"/>
            <w:tcBorders>
              <w:top w:val="single" w:sz="8" w:color="0000FF"/>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Health, LLC, as the borrower, certain other subsidiaries of Privia Health Group, Inc.,</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5920" w:type="dxa"/>
            <w:vAlign w:val="bottom"/>
            <w:gridSpan w:val="41"/>
            <w:vMerge w:val="restart"/>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as guarantors, Silicon Valley Bank, as administrative agent and collateral agent, and</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5920" w:type="dxa"/>
            <w:vAlign w:val="bottom"/>
            <w:gridSpan w:val="4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62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the several lenders from time to time party thereto (including conformed copy of the</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0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Credit Agreement attached as Exhibit B thereto).</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10.27+</w:t>
            </w:r>
            <w:r>
              <w:rPr>
                <w:rFonts w:ascii="Times New Roman" w:cs="Times New Roman" w:eastAsia="Times New Roman" w:hAnsi="Times New Roman"/>
                <w:sz w:val="17"/>
                <w:szCs w:val="17"/>
                <w:color w:val="auto"/>
              </w:rPr>
              <w:t>§</w:t>
            </w: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vMerge w:val="continue"/>
          </w:tcPr>
          <w:p>
            <w:pPr>
              <w:spacing w:after="0"/>
              <w:rPr>
                <w:sz w:val="22"/>
                <w:szCs w:val="22"/>
                <w:color w:val="auto"/>
              </w:rPr>
            </w:pPr>
          </w:p>
        </w:tc>
        <w:tc>
          <w:tcPr>
            <w:tcW w:w="5920" w:type="dxa"/>
            <w:vAlign w:val="bottom"/>
            <w:gridSpan w:val="41"/>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Second Amended and Restated PH Group Parent Corp. Stock Option Plan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10.28+</w:t>
            </w:r>
            <w:r>
              <w:rPr>
                <w:rFonts w:ascii="Times New Roman" w:cs="Times New Roman" w:eastAsia="Times New Roman" w:hAnsi="Times New Roman"/>
                <w:sz w:val="17"/>
                <w:szCs w:val="17"/>
                <w:color w:val="auto"/>
              </w:rPr>
              <w:t>§</w:t>
            </w:r>
          </w:p>
        </w:tc>
        <w:tc>
          <w:tcPr>
            <w:tcW w:w="5840" w:type="dxa"/>
            <w:vAlign w:val="bottom"/>
            <w:tcBorders>
              <w:bottom w:val="single" w:sz="8" w:color="0000FF"/>
            </w:tcBorders>
            <w:gridSpan w:val="37"/>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of Non-Qualified Stock Option Agreement under the Second Amended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40" w:type="dxa"/>
            <w:vAlign w:val="bottom"/>
            <w:gridSpan w:val="37"/>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Restated PH Group Parent Corp. Stock Option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10.29+</w:t>
            </w:r>
            <w:r>
              <w:rPr>
                <w:rFonts w:ascii="Times New Roman" w:cs="Times New Roman" w:eastAsia="Times New Roman" w:hAnsi="Times New Roman"/>
                <w:sz w:val="17"/>
                <w:szCs w:val="17"/>
                <w:color w:val="auto"/>
              </w:rPr>
              <w:t>§</w:t>
            </w:r>
          </w:p>
        </w:tc>
        <w:tc>
          <w:tcPr>
            <w:tcW w:w="586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Form of Amendment to Non-Qualified Stock Option Agreement under Second</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60" w:type="dxa"/>
            <w:vAlign w:val="bottom"/>
            <w:gridSpan w:val="38"/>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Amended and Restated PH Group Parent Corp. Stock Option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10.30+</w:t>
            </w:r>
            <w:r>
              <w:rPr>
                <w:rFonts w:ascii="Times New Roman" w:cs="Times New Roman" w:eastAsia="Times New Roman" w:hAnsi="Times New Roman"/>
                <w:sz w:val="17"/>
                <w:szCs w:val="17"/>
                <w:color w:val="auto"/>
              </w:rPr>
              <w:t>§</w:t>
            </w:r>
          </w:p>
        </w:tc>
        <w:tc>
          <w:tcPr>
            <w:tcW w:w="292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Notice of Modification of Option Agreement</w:t>
              </w:r>
            </w:hyperlink>
          </w:p>
        </w:tc>
        <w:tc>
          <w:tcPr>
            <w:tcW w:w="1360" w:type="dxa"/>
            <w:vAlign w:val="bottom"/>
            <w:tcBorders>
              <w:top w:val="single" w:sz="8" w:color="0000FF"/>
            </w:tcBorders>
            <w:gridSpan w:val="6"/>
          </w:tcPr>
          <w:p>
            <w:pPr>
              <w:spacing w:after="0"/>
              <w:rPr>
                <w:sz w:val="22"/>
                <w:szCs w:val="22"/>
                <w:color w:val="auto"/>
              </w:rPr>
            </w:pPr>
          </w:p>
        </w:tc>
        <w:tc>
          <w:tcPr>
            <w:tcW w:w="1640" w:type="dxa"/>
            <w:vAlign w:val="bottom"/>
            <w:gridSpan w:val="25"/>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7"/>
              </w:rPr>
              <w:t>10.31+</w:t>
            </w:r>
          </w:p>
        </w:tc>
        <w:tc>
          <w:tcPr>
            <w:tcW w:w="564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Strategic Alignment Agreement, dated as of March 2, 2023, by and between Privia</w:t>
              </w:r>
            </w:hyperlink>
          </w:p>
        </w:tc>
        <w:tc>
          <w:tcPr>
            <w:tcW w:w="2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880" w:type="dxa"/>
            <w:vAlign w:val="bottom"/>
            <w:vMerge w:val="continue"/>
          </w:tcPr>
          <w:p>
            <w:pPr>
              <w:spacing w:after="0"/>
              <w:rPr>
                <w:sz w:val="7"/>
                <w:szCs w:val="7"/>
                <w:color w:val="auto"/>
              </w:rPr>
            </w:pPr>
          </w:p>
        </w:tc>
        <w:tc>
          <w:tcPr>
            <w:tcW w:w="5920" w:type="dxa"/>
            <w:vAlign w:val="bottom"/>
            <w:gridSpan w:val="41"/>
            <w:vMerge w:val="restart"/>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Health Group, Inc. and ChoiceHealth, Inc.</w:t>
              </w:r>
            </w:hyperlink>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5920" w:type="dxa"/>
            <w:vAlign w:val="bottom"/>
            <w:gridSpan w:val="4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10.32+</w:t>
            </w:r>
            <w:r>
              <w:rPr>
                <w:rFonts w:ascii="Times New Roman" w:cs="Times New Roman" w:eastAsia="Times New Roman" w:hAnsi="Times New Roman"/>
                <w:sz w:val="17"/>
                <w:szCs w:val="17"/>
                <w:color w:val="auto"/>
              </w:rPr>
              <w:t>§</w:t>
            </w: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vMerge w:val="continue"/>
          </w:tcPr>
          <w:p>
            <w:pPr>
              <w:spacing w:after="0"/>
              <w:rPr>
                <w:sz w:val="22"/>
                <w:szCs w:val="22"/>
                <w:color w:val="auto"/>
              </w:rPr>
            </w:pPr>
          </w:p>
        </w:tc>
        <w:tc>
          <w:tcPr>
            <w:tcW w:w="5920" w:type="dxa"/>
            <w:vAlign w:val="bottom"/>
            <w:gridSpan w:val="41"/>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of PSU Award Agreement under the 2021 Omnibus Incentive Plan</w:t>
              </w:r>
            </w:hyperlink>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10.33+</w:t>
            </w:r>
            <w:r>
              <w:rPr>
                <w:rFonts w:ascii="Times New Roman" w:cs="Times New Roman" w:eastAsia="Times New Roman" w:hAnsi="Times New Roman"/>
                <w:sz w:val="17"/>
                <w:szCs w:val="17"/>
                <w:color w:val="auto"/>
              </w:rPr>
              <w:t>§</w:t>
            </w: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80" w:type="dxa"/>
            <w:vAlign w:val="bottom"/>
            <w:vMerge w:val="continue"/>
          </w:tcPr>
          <w:p>
            <w:pPr>
              <w:spacing w:after="0"/>
              <w:rPr>
                <w:sz w:val="24"/>
                <w:szCs w:val="24"/>
                <w:color w:val="auto"/>
              </w:rPr>
            </w:pPr>
          </w:p>
        </w:tc>
        <w:tc>
          <w:tcPr>
            <w:tcW w:w="5920" w:type="dxa"/>
            <w:vAlign w:val="bottom"/>
            <w:gridSpan w:val="41"/>
          </w:tcPr>
          <w:p>
            <w:pPr>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 xml:space="preserve">Mehrotra </w:t>
            </w:r>
            <w:hyperlink r:id="rId144">
              <w:r>
                <w:rPr>
                  <w:rFonts w:ascii="Times New Roman" w:cs="Times New Roman" w:eastAsia="Times New Roman" w:hAnsi="Times New Roman"/>
                  <w:sz w:val="16"/>
                  <w:szCs w:val="16"/>
                  <w:color w:val="0000FF"/>
                </w:rPr>
                <w:t>Fourth Amendment to Employment Agreement, dated June 23, 2023</w:t>
              </w:r>
            </w:hyperlink>
          </w:p>
        </w:tc>
        <w:tc>
          <w:tcPr>
            <w:tcW w:w="0" w:type="dxa"/>
            <w:vAlign w:val="bottom"/>
          </w:tcPr>
          <w:p>
            <w:pPr>
              <w:spacing w:after="0"/>
              <w:rPr>
                <w:sz w:val="1"/>
                <w:szCs w:val="1"/>
                <w:color w:val="auto"/>
              </w:rPr>
            </w:pPr>
          </w:p>
        </w:tc>
      </w:tr>
      <w:tr>
        <w:trPr>
          <w:trHeight w:val="291"/>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10.34+</w:t>
            </w:r>
            <w:r>
              <w:rPr>
                <w:rFonts w:ascii="Times New Roman" w:cs="Times New Roman" w:eastAsia="Times New Roman" w:hAnsi="Times New Roman"/>
                <w:sz w:val="17"/>
                <w:szCs w:val="17"/>
                <w:color w:val="auto"/>
              </w:rPr>
              <w:t>§</w:t>
            </w:r>
          </w:p>
        </w:tc>
        <w:tc>
          <w:tcPr>
            <w:tcW w:w="5080" w:type="dxa"/>
            <w:vAlign w:val="bottom"/>
            <w:tcBorders>
              <w:top w:val="single" w:sz="8" w:color="0000FF"/>
            </w:tcBorders>
            <w:gridSpan w:val="21"/>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 xml:space="preserve">Relative </w:t>
              </w:r>
            </w:hyperlink>
            <w:r>
              <w:rPr>
                <w:rFonts w:ascii="Times New Roman" w:cs="Times New Roman" w:eastAsia="Times New Roman" w:hAnsi="Times New Roman"/>
                <w:sz w:val="16"/>
                <w:szCs w:val="16"/>
                <w:color w:val="0000FF"/>
              </w:rPr>
              <w:t xml:space="preserve">TSR </w:t>
            </w:r>
            <w:hyperlink r:id="rId145">
              <w:r>
                <w:rPr>
                  <w:rFonts w:ascii="Times New Roman" w:cs="Times New Roman" w:eastAsia="Times New Roman" w:hAnsi="Times New Roman"/>
                  <w:sz w:val="16"/>
                  <w:szCs w:val="16"/>
                  <w:color w:val="0000FF"/>
                </w:rPr>
                <w:t>PSU Agreement, effective July 1, 2023</w:t>
              </w:r>
            </w:hyperlink>
          </w:p>
        </w:tc>
        <w:tc>
          <w:tcPr>
            <w:tcW w:w="8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10.35+</w:t>
            </w:r>
            <w:r>
              <w:rPr>
                <w:rFonts w:ascii="Times New Roman" w:cs="Times New Roman" w:eastAsia="Times New Roman" w:hAnsi="Times New Roman"/>
                <w:sz w:val="17"/>
                <w:szCs w:val="17"/>
                <w:color w:val="auto"/>
              </w:rPr>
              <w:t>§</w:t>
            </w:r>
          </w:p>
        </w:tc>
        <w:tc>
          <w:tcPr>
            <w:tcW w:w="334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 xml:space="preserve">Morris </w:t>
            </w:r>
            <w:hyperlink r:id="rId146">
              <w:r>
                <w:rPr>
                  <w:rFonts w:ascii="Times New Roman" w:cs="Times New Roman" w:eastAsia="Times New Roman" w:hAnsi="Times New Roman"/>
                  <w:sz w:val="16"/>
                  <w:szCs w:val="16"/>
                  <w:color w:val="0000FF"/>
                </w:rPr>
                <w:t>Transition Agreement, dated June 23, 2023</w:t>
              </w:r>
            </w:hyperlink>
          </w:p>
        </w:tc>
        <w:tc>
          <w:tcPr>
            <w:tcW w:w="100" w:type="dxa"/>
            <w:vAlign w:val="bottom"/>
            <w:tcBorders>
              <w:top w:val="single" w:sz="8" w:color="0000FF"/>
            </w:tcBorders>
            <w:gridSpan w:val="2"/>
          </w:tcPr>
          <w:p>
            <w:pPr>
              <w:spacing w:after="0"/>
              <w:rPr>
                <w:sz w:val="24"/>
                <w:szCs w:val="24"/>
                <w:color w:val="auto"/>
              </w:rPr>
            </w:pPr>
          </w:p>
        </w:tc>
        <w:tc>
          <w:tcPr>
            <w:tcW w:w="248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rPr>
              <w:t>10.36+</w:t>
            </w:r>
            <w:r>
              <w:rPr>
                <w:rFonts w:ascii="Times New Roman" w:cs="Times New Roman" w:eastAsia="Times New Roman" w:hAnsi="Times New Roman"/>
                <w:sz w:val="17"/>
                <w:szCs w:val="17"/>
                <w:color w:val="auto"/>
              </w:rPr>
              <w:t>§</w:t>
            </w:r>
          </w:p>
        </w:tc>
        <w:tc>
          <w:tcPr>
            <w:tcW w:w="5920" w:type="dxa"/>
            <w:vAlign w:val="bottom"/>
            <w:gridSpan w:val="41"/>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Credit Agreement dated as of November 16, 2023 among Privia Health Group, Inc.,</w:t>
              </w:r>
            </w:hyperlink>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82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PH Group Holdings Corp., and Privia Health, LLC, as borrower, with Wells Fargo</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62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Bank, National Association, as issuing lender, and certain other lenders</w:t>
              </w:r>
            </w:hyperlink>
          </w:p>
        </w:tc>
        <w:tc>
          <w:tcPr>
            <w:tcW w:w="124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10.37+</w:t>
            </w:r>
            <w:r>
              <w:rPr>
                <w:rFonts w:ascii="Times New Roman" w:cs="Times New Roman" w:eastAsia="Times New Roman" w:hAnsi="Times New Roman"/>
                <w:sz w:val="17"/>
                <w:szCs w:val="17"/>
                <w:color w:val="auto"/>
              </w:rPr>
              <w:t>§</w:t>
            </w:r>
          </w:p>
        </w:tc>
        <w:tc>
          <w:tcPr>
            <w:tcW w:w="570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Transition Letter Agreement, dated as of January 25, 2024, between the Company</w:t>
              </w:r>
            </w:hyperlink>
          </w:p>
        </w:tc>
        <w:tc>
          <w:tcPr>
            <w:tcW w:w="60" w:type="dxa"/>
            <w:vAlign w:val="bottom"/>
            <w:gridSpan w:val="3"/>
          </w:tcPr>
          <w:p>
            <w:pPr>
              <w:spacing w:after="0"/>
              <w:rPr>
                <w:sz w:val="21"/>
                <w:szCs w:val="21"/>
                <w:color w:val="auto"/>
              </w:rPr>
            </w:pPr>
          </w:p>
        </w:tc>
        <w:tc>
          <w:tcPr>
            <w:tcW w:w="120" w:type="dxa"/>
            <w:vAlign w:val="bottom"/>
            <w:gridSpan w:val="6"/>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700" w:type="dxa"/>
            <w:vAlign w:val="bottom"/>
            <w:gridSpan w:val="30"/>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and Thomas Bartrum</w:t>
              </w:r>
            </w:hyperlink>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10.38+</w:t>
            </w:r>
            <w:r>
              <w:rPr>
                <w:rFonts w:ascii="Times New Roman" w:cs="Times New Roman" w:eastAsia="Times New Roman" w:hAnsi="Times New Roman"/>
                <w:sz w:val="17"/>
                <w:szCs w:val="17"/>
                <w:color w:val="auto"/>
              </w:rPr>
              <w:t>§</w:t>
            </w:r>
          </w:p>
        </w:tc>
        <w:tc>
          <w:tcPr>
            <w:tcW w:w="588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6"/>
                <w:szCs w:val="16"/>
                <w:color w:val="0000FF"/>
              </w:rPr>
              <w:t>Employment Agreement between Privia Health Group, Inc. and Edward Fargis dated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880" w:type="dxa"/>
            <w:vAlign w:val="bottom"/>
            <w:gridSpan w:val="39"/>
          </w:tcPr>
          <w:p>
            <w:pPr>
              <w:spacing w:after="0" w:line="142" w:lineRule="exact"/>
              <w:rPr>
                <w:sz w:val="20"/>
                <w:szCs w:val="20"/>
                <w:color w:val="auto"/>
              </w:rPr>
            </w:pPr>
            <w:r>
              <w:rPr>
                <w:rFonts w:ascii="Times New Roman" w:cs="Times New Roman" w:eastAsia="Times New Roman" w:hAnsi="Times New Roman"/>
                <w:sz w:val="16"/>
                <w:szCs w:val="16"/>
                <w:color w:val="0000FF"/>
              </w:rPr>
              <w:t>January 29, 2024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21.1</w:t>
            </w:r>
          </w:p>
        </w:tc>
        <w:tc>
          <w:tcPr>
            <w:tcW w:w="1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Subsidiaries of the registrant</w:t>
            </w:r>
          </w:p>
        </w:tc>
        <w:tc>
          <w:tcPr>
            <w:tcW w:w="4060" w:type="dxa"/>
            <w:vAlign w:val="bottom"/>
            <w:gridSpan w:val="3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9"/>
              </w:rPr>
              <w:t>23.1</w:t>
            </w:r>
          </w:p>
        </w:tc>
        <w:tc>
          <w:tcPr>
            <w:tcW w:w="592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940" w:type="dxa"/>
            <w:vAlign w:val="bottom"/>
            <w:gridSpan w:val="14"/>
            <w:shd w:val="clear" w:color="auto" w:fill="0000FF"/>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31.1</w:t>
            </w:r>
          </w:p>
        </w:tc>
        <w:tc>
          <w:tcPr>
            <w:tcW w:w="592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Exchange Act Rules Rule</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660" w:type="dxa"/>
            <w:vAlign w:val="bottom"/>
            <w:tcBorders>
              <w:top w:val="single" w:sz="8" w:color="0000FF"/>
              <w:bottom w:val="single" w:sz="8" w:color="0000FF"/>
            </w:tcBorders>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13a-14(a), as adopted pursuant to Section 302 of the Sarbanes-Oxley Act of 2002,</w:t>
            </w:r>
          </w:p>
        </w:tc>
        <w:tc>
          <w:tcPr>
            <w:tcW w:w="100" w:type="dxa"/>
            <w:vAlign w:val="bottom"/>
            <w:tcBorders>
              <w:bottom w:val="single" w:sz="8" w:color="0000FF"/>
            </w:tcBorders>
            <w:gridSpan w:val="5"/>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40" w:type="dxa"/>
            <w:vAlign w:val="bottom"/>
            <w:tcBorders>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8"/>
              </w:rPr>
              <w:t>filed herewith.</w:t>
            </w:r>
          </w:p>
        </w:tc>
        <w:tc>
          <w:tcPr>
            <w:tcW w:w="4820" w:type="dxa"/>
            <w:vAlign w:val="bottom"/>
            <w:gridSpan w:val="3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color w:val="auto"/>
                <w:w w:val="99"/>
              </w:rPr>
              <w:t>31.2</w:t>
            </w:r>
          </w:p>
        </w:tc>
        <w:tc>
          <w:tcPr>
            <w:tcW w:w="5920" w:type="dxa"/>
            <w:vAlign w:val="bottom"/>
            <w:gridSpan w:val="41"/>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Exchange Act Rules Rule</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900" w:type="dxa"/>
            <w:vAlign w:val="bottom"/>
            <w:tcBorders>
              <w:top w:val="single" w:sz="8" w:color="0000FF"/>
            </w:tcBorders>
            <w:gridSpan w:val="40"/>
          </w:tcPr>
          <w:p>
            <w:pPr>
              <w:spacing w:after="0" w:line="142" w:lineRule="exact"/>
              <w:rPr>
                <w:sz w:val="20"/>
                <w:szCs w:val="20"/>
                <w:color w:val="auto"/>
              </w:rPr>
            </w:pPr>
            <w:r>
              <w:rPr>
                <w:rFonts w:ascii="Times New Roman" w:cs="Times New Roman" w:eastAsia="Times New Roman" w:hAnsi="Times New Roman"/>
                <w:sz w:val="16"/>
                <w:szCs w:val="16"/>
                <w:color w:val="0000FF"/>
              </w:rPr>
              <w:t>13a-14(a), as adopted pursuant to Section 302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9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8"/>
              </w:rPr>
              <w:t>filed herewith.</w:t>
            </w:r>
          </w:p>
        </w:tc>
        <w:tc>
          <w:tcPr>
            <w:tcW w:w="4820" w:type="dxa"/>
            <w:vAlign w:val="bottom"/>
            <w:tcBorders>
              <w:top w:val="single" w:sz="8" w:color="0000FF"/>
            </w:tcBorders>
            <w:gridSpan w:val="3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03/22/2022</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05/03/2021</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05/03/2021</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10.7+</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r>
      <w:tr>
        <w:trPr>
          <w:trHeight w:val="59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10.8+</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r>
      <w:tr>
        <w:trPr>
          <w:trHeight w:val="67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10.9+</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r>
      <w:tr>
        <w:trPr>
          <w:trHeight w:val="67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333-255086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04/22/2021</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211-388036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11/08/2021</w:t>
            </w:r>
          </w:p>
        </w:tc>
      </w:tr>
      <w:tr>
        <w:trPr>
          <w:trHeight w:val="75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211-221127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08/30/2021</w:t>
            </w:r>
          </w:p>
        </w:tc>
      </w:tr>
      <w:tr>
        <w:trPr>
          <w:trHeight w:val="68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333-255598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04/29/2021</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333-255598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04/29/2021</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S-8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333-255598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04/29/2021</w:t>
            </w:r>
          </w:p>
        </w:tc>
      </w:tr>
      <w:tr>
        <w:trPr>
          <w:trHeight w:val="36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227-68304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03/25/2022</w:t>
            </w: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05/04/2023</w:t>
            </w:r>
          </w:p>
        </w:tc>
      </w:tr>
      <w:tr>
        <w:trPr>
          <w:trHeight w:val="36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05/04/2023</w:t>
            </w: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06/29/2023</w:t>
            </w: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06/29/2023</w:t>
            </w:r>
          </w:p>
        </w:tc>
      </w:t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06/29/2023</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11/21/2023</w:t>
            </w:r>
          </w:p>
        </w:tc>
      </w:tr>
      <w:tr>
        <w:trPr>
          <w:trHeight w:val="513"/>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001-40365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01/29/2024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67" w:lineRule="exact"/>
        <w:rPr>
          <w:sz w:val="20"/>
          <w:szCs w:val="20"/>
          <w:color w:val="auto"/>
        </w:rPr>
      </w:pPr>
    </w:p>
    <w:p>
      <w:pPr>
        <w:sectPr>
          <w:pgSz w:w="11900" w:h="16838" w:orient="portrait"/>
          <w:cols w:equalWidth="0" w:num="3">
            <w:col w:w="6640" w:space="120"/>
            <w:col w:w="3220" w:space="720"/>
            <w:col w:w="120"/>
          </w:cols>
          <w:pgMar w:left="320" w:top="121" w:right="759" w:bottom="1440" w:gutter="0" w:footer="0" w:header="0"/>
          <w:type w:val="continuous"/>
        </w:sectPr>
      </w:pPr>
    </w:p>
    <w:p>
      <w:pPr>
        <w:spacing w:after="0" w:line="3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900" w:type="dxa"/>
            <w:vAlign w:val="bottom"/>
            <w:vMerge w:val="restart"/>
          </w:tcPr>
          <w:p>
            <w:pPr>
              <w:jc w:val="center"/>
              <w:ind w:right="219"/>
              <w:spacing w:after="0"/>
              <w:rPr>
                <w:sz w:val="20"/>
                <w:szCs w:val="20"/>
                <w:color w:val="auto"/>
              </w:rPr>
            </w:pPr>
            <w:r>
              <w:rPr>
                <w:rFonts w:ascii="Times New Roman" w:cs="Times New Roman" w:eastAsia="Times New Roman" w:hAnsi="Times New Roman"/>
                <w:sz w:val="16"/>
                <w:szCs w:val="16"/>
                <w:color w:val="auto"/>
                <w:w w:val="99"/>
              </w:rPr>
              <w:t>32.1*</w:t>
            </w:r>
          </w:p>
        </w:tc>
        <w:tc>
          <w:tcPr>
            <w:tcW w:w="5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18 U.S.C. Section 1350, filed</w:t>
            </w: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60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0000FF"/>
                <w:w w:val="96"/>
              </w:rPr>
              <w:t>herewith.</w:t>
            </w:r>
          </w:p>
        </w:tc>
        <w:tc>
          <w:tcPr>
            <w:tcW w:w="496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600" w:type="dxa"/>
            <w:vAlign w:val="bottom"/>
            <w:tcBorders>
              <w:bottom w:val="single" w:sz="8" w:color="0000FF"/>
            </w:tcBorders>
            <w:vMerge w:val="continue"/>
          </w:tcPr>
          <w:p>
            <w:pPr>
              <w:spacing w:after="0"/>
              <w:rPr>
                <w:sz w:val="4"/>
                <w:szCs w:val="4"/>
                <w:color w:val="auto"/>
              </w:rPr>
            </w:pPr>
          </w:p>
        </w:tc>
        <w:tc>
          <w:tcPr>
            <w:tcW w:w="4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00" w:type="dxa"/>
            <w:vAlign w:val="bottom"/>
            <w:vMerge w:val="restart"/>
          </w:tcPr>
          <w:p>
            <w:pPr>
              <w:jc w:val="center"/>
              <w:ind w:right="219"/>
              <w:spacing w:after="0"/>
              <w:rPr>
                <w:sz w:val="20"/>
                <w:szCs w:val="20"/>
                <w:color w:val="auto"/>
              </w:rPr>
            </w:pPr>
            <w:r>
              <w:rPr>
                <w:rFonts w:ascii="Times New Roman" w:cs="Times New Roman" w:eastAsia="Times New Roman" w:hAnsi="Times New Roman"/>
                <w:sz w:val="16"/>
                <w:szCs w:val="16"/>
                <w:color w:val="auto"/>
                <w:w w:val="99"/>
              </w:rPr>
              <w:t>32.2*</w:t>
            </w:r>
          </w:p>
        </w:tc>
        <w:tc>
          <w:tcPr>
            <w:tcW w:w="5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18 U.S.C. Section 1350, filed</w:t>
            </w: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60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color w:val="0000FF"/>
                <w:w w:val="96"/>
              </w:rPr>
              <w:t>herewith.</w:t>
            </w:r>
          </w:p>
        </w:tc>
        <w:tc>
          <w:tcPr>
            <w:tcW w:w="496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600" w:type="dxa"/>
            <w:vAlign w:val="bottom"/>
            <w:tcBorders>
              <w:bottom w:val="single" w:sz="8" w:color="0000FF"/>
            </w:tcBorders>
            <w:vMerge w:val="continue"/>
          </w:tcPr>
          <w:p>
            <w:pPr>
              <w:spacing w:after="0"/>
              <w:rPr>
                <w:sz w:val="4"/>
                <w:szCs w:val="4"/>
                <w:color w:val="auto"/>
              </w:rPr>
            </w:pPr>
          </w:p>
        </w:tc>
        <w:tc>
          <w:tcPr>
            <w:tcW w:w="4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97.1+</w:t>
            </w:r>
            <w:r>
              <w:rPr>
                <w:rFonts w:ascii="Times New Roman" w:cs="Times New Roman" w:eastAsia="Times New Roman" w:hAnsi="Times New Roman"/>
                <w:sz w:val="17"/>
                <w:szCs w:val="17"/>
                <w:color w:val="auto"/>
              </w:rPr>
              <w:t>§</w:t>
            </w:r>
          </w:p>
        </w:tc>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Policy Relating to Recovery of Erroneously Awarded Compensation</w:t>
            </w:r>
          </w:p>
        </w:tc>
        <w:tc>
          <w:tcPr>
            <w:tcW w:w="0" w:type="dxa"/>
            <w:vAlign w:val="bottom"/>
          </w:tcPr>
          <w:p>
            <w:pPr>
              <w:spacing w:after="0"/>
              <w:rPr>
                <w:sz w:val="1"/>
                <w:szCs w:val="1"/>
                <w:color w:val="auto"/>
              </w:rPr>
            </w:pPr>
          </w:p>
        </w:tc>
      </w:tr>
      <w:tr>
        <w:trPr>
          <w:trHeight w:val="312"/>
        </w:trPr>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101.INS</w:t>
            </w:r>
          </w:p>
        </w:tc>
        <w:tc>
          <w:tcPr>
            <w:tcW w:w="44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XBRL Instance Document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101.SCH</w:t>
            </w:r>
          </w:p>
        </w:tc>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Schema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101.CAL</w:t>
            </w:r>
          </w:p>
        </w:tc>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Definition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101.DEF</w:t>
            </w:r>
          </w:p>
        </w:tc>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Calculation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9"/>
              </w:rPr>
              <w:t>101.LAB</w:t>
            </w:r>
          </w:p>
        </w:tc>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Labels **</w:t>
            </w:r>
          </w:p>
        </w:tc>
        <w:tc>
          <w:tcPr>
            <w:tcW w:w="0" w:type="dxa"/>
            <w:vAlign w:val="bottom"/>
          </w:tcPr>
          <w:p>
            <w:pPr>
              <w:spacing w:after="0"/>
              <w:rPr>
                <w:sz w:val="1"/>
                <w:szCs w:val="1"/>
                <w:color w:val="auto"/>
              </w:rPr>
            </w:pPr>
          </w:p>
        </w:tc>
      </w:tr>
      <w:tr>
        <w:trPr>
          <w:trHeight w:val="270"/>
        </w:trPr>
        <w:tc>
          <w:tcPr>
            <w:tcW w:w="9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101.PRE</w:t>
            </w:r>
          </w:p>
        </w:tc>
        <w:tc>
          <w:tcPr>
            <w:tcW w:w="5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Presentation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08" w:lineRule="exact"/>
        <w:rPr>
          <w:sz w:val="20"/>
          <w:szCs w:val="20"/>
          <w:color w:val="auto"/>
        </w:rPr>
      </w:pPr>
    </w:p>
    <w:p>
      <w:pPr>
        <w:sectPr>
          <w:pgSz w:w="11900" w:h="16838" w:orient="portrait"/>
          <w:cols w:equalWidth="0" w:num="2">
            <w:col w:w="9960" w:space="720"/>
            <w:col w:w="560"/>
          </w:cols>
          <w:pgMar w:left="320" w:top="121" w:right="339" w:bottom="1440" w:gutter="0" w:footer="0" w:header="0"/>
        </w:sectPr>
      </w:pPr>
    </w:p>
    <w:p>
      <w:pPr>
        <w:ind w:left="280" w:hanging="272"/>
        <w:spacing w:after="0"/>
        <w:tabs>
          <w:tab w:leader="none" w:pos="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71" w:lineRule="exact"/>
        <w:rPr>
          <w:sz w:val="20"/>
          <w:szCs w:val="20"/>
          <w:color w:val="auto"/>
        </w:rPr>
      </w:pPr>
    </w:p>
    <w:p>
      <w:pPr>
        <w:jc w:val="both"/>
        <w:ind w:left="340" w:hanging="332"/>
        <w:spacing w:after="0" w:line="266" w:lineRule="auto"/>
        <w:tabs>
          <w:tab w:leader="none" w:pos="3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The financial information contained in these XBRL documents is unaudited.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3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297" w:lineRule="exact"/>
        <w:rPr>
          <w:sz w:val="20"/>
          <w:szCs w:val="20"/>
          <w:color w:val="auto"/>
        </w:rPr>
      </w:pPr>
    </w:p>
    <w:p>
      <w:pPr>
        <w:ind w:left="20"/>
        <w:spacing w:after="0"/>
        <w:tabs>
          <w:tab w:leader="none" w:pos="560" w:val="left"/>
          <w:tab w:leader="none" w:pos="7640" w:val="left"/>
          <w:tab w:leader="none" w:pos="8300" w:val="left"/>
        </w:tabs>
        <w:rPr>
          <w:sz w:val="20"/>
          <w:szCs w:val="20"/>
          <w:color w:val="auto"/>
        </w:rPr>
      </w:pPr>
      <w:r>
        <w:rPr>
          <w:rFonts w:ascii="Times New Roman" w:cs="Times New Roman" w:eastAsia="Times New Roman" w:hAnsi="Times New Roman"/>
          <w:sz w:val="18"/>
          <w:szCs w:val="18"/>
          <w:color w:val="auto"/>
        </w:rPr>
        <w:t>Date:</w:t>
        <w:tab/>
        <w:t>February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17145</wp:posOffset>
            </wp:positionV>
            <wp:extent cx="18516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Name: Parth Mehrotra</w:t>
      </w:r>
    </w:p>
    <w:p>
      <w:pPr>
        <w:spacing w:after="0" w:line="2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1360"/>
        <w:spacing w:after="0"/>
        <w:tabs>
          <w:tab w:leader="none" w:pos="5680" w:val="left"/>
          <w:tab w:leader="none" w:pos="95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Parth Mehrotra</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856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David Mountcastle</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Adam Boehler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Adam Boehler</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Nancy Cocozza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Nancy Cocozza</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Pamela Kimmet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Pamela Kimmet</w:t>
      </w:r>
    </w:p>
    <w:p>
      <w:pPr>
        <w:spacing w:after="0" w:line="17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David King</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Patricia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Patricia Maryland</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Thomas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Thomas McCarthy</w:t>
      </w:r>
    </w:p>
    <w:p>
      <w:pPr>
        <w:spacing w:after="0" w:line="11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Shawn Morris</w:t>
      </w:r>
    </w:p>
    <w:p>
      <w:pPr>
        <w:spacing w:after="0" w:line="10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Jaewon Ryu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Jaewon Ryu, M.D.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jc w:val="center"/>
        <w:ind w:right="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jc w:val="center"/>
        <w:ind w:right="6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77" w:lineRule="exact"/>
        <w:rPr>
          <w:sz w:val="20"/>
          <w:szCs w:val="20"/>
          <w:color w:val="auto"/>
        </w:rPr>
      </w:pPr>
    </w:p>
    <w:p>
      <w:pPr>
        <w:sectPr>
          <w:pgSz w:w="11900" w:h="16838" w:orient="portrait"/>
          <w:cols w:equalWidth="0" w:num="3">
            <w:col w:w="3260" w:space="720"/>
            <w:col w:w="4420" w:space="720"/>
            <w:col w:w="2120"/>
          </w:cols>
          <w:pgMar w:left="320" w:top="121" w:right="339" w:bottom="1440" w:gutter="0" w:footer="0" w:header="0"/>
          <w:type w:val="continuous"/>
        </w:sectPr>
      </w:pPr>
    </w:p>
    <w:p>
      <w:pPr>
        <w:jc w:val="center"/>
        <w:ind w:right="1400"/>
        <w:spacing w:after="0"/>
        <w:rPr>
          <w:sz w:val="20"/>
          <w:szCs w:val="20"/>
          <w:color w:val="auto"/>
        </w:rPr>
      </w:pPr>
      <w:r>
        <w:rPr>
          <w:rFonts w:ascii="Times New Roman" w:cs="Times New Roman" w:eastAsia="Times New Roman" w:hAnsi="Times New Roman"/>
          <w:sz w:val="17"/>
          <w:szCs w:val="17"/>
          <w:color w:val="auto"/>
        </w:rPr>
        <w:t>/s/ William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856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55"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William M. Sullivan</w:t>
      </w:r>
    </w:p>
    <w:p>
      <w:pPr>
        <w:spacing w:after="0" w:line="11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/s/ David Wichmann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85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color w:val="auto"/>
        </w:rPr>
        <w:t>David Wichmann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399"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2024</w:t>
      </w:r>
    </w:p>
    <w:p>
      <w:pPr>
        <w:spacing w:after="0" w:line="373" w:lineRule="exact"/>
        <w:rPr>
          <w:sz w:val="20"/>
          <w:szCs w:val="20"/>
          <w:color w:val="auto"/>
        </w:rPr>
      </w:pPr>
    </w:p>
    <w:p>
      <w:pPr>
        <w:sectPr>
          <w:pgSz w:w="11900" w:h="16838" w:orient="portrait"/>
          <w:cols w:equalWidth="0" w:num="2">
            <w:col w:w="4860" w:space="720"/>
            <w:col w:w="5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80" w:type="dxa"/>
            <w:vAlign w:val="bottom"/>
            <w:gridSpan w:val="4"/>
          </w:tcPr>
          <w:p>
            <w:pPr>
              <w:jc w:val="center"/>
              <w:ind w:right="25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0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60" w:type="dxa"/>
            <w:vAlign w:val="bottom"/>
            <w:gridSpan w:val="5"/>
          </w:tcPr>
          <w:p>
            <w:pPr>
              <w:spacing w:after="0"/>
              <w:rPr>
                <w:sz w:val="18"/>
                <w:szCs w:val="18"/>
                <w:color w:val="auto"/>
              </w:rPr>
            </w:pPr>
          </w:p>
        </w:tc>
        <w:tc>
          <w:tcPr>
            <w:tcW w:w="670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8140" w:type="dxa"/>
            <w:vAlign w:val="bottom"/>
            <w:gridSpan w:val="5"/>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7400" w:type="dxa"/>
            <w:vAlign w:val="bottom"/>
            <w:gridSpan w:val="2"/>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80" w:type="dxa"/>
            <w:vAlign w:val="bottom"/>
            <w:gridSpan w:val="2"/>
          </w:tcPr>
          <w:p>
            <w:pPr>
              <w:spacing w:after="0"/>
              <w:rPr>
                <w:sz w:val="18"/>
                <w:szCs w:val="18"/>
                <w:color w:val="auto"/>
              </w:rPr>
            </w:pPr>
          </w:p>
        </w:tc>
        <w:tc>
          <w:tcPr>
            <w:tcW w:w="7400" w:type="dxa"/>
            <w:vAlign w:val="bottom"/>
            <w:gridSpan w:val="2"/>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4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F-9</w:t>
            </w:r>
          </w:p>
        </w:tc>
      </w:tr>
      <w:tr>
        <w:trPr>
          <w:trHeight w:val="763"/>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00" w:type="dxa"/>
            <w:vAlign w:val="bottom"/>
          </w:tcPr>
          <w:p>
            <w:pPr>
              <w:jc w:val="center"/>
              <w:ind w:right="3930"/>
              <w:spacing w:after="0"/>
              <w:rPr>
                <w:sz w:val="20"/>
                <w:szCs w:val="20"/>
                <w:color w:val="auto"/>
              </w:rPr>
            </w:pPr>
            <w:r>
              <w:rPr>
                <w:rFonts w:ascii="Times New Roman" w:cs="Times New Roman" w:eastAsia="Times New Roman" w:hAnsi="Times New Roman"/>
                <w:sz w:val="18"/>
                <w:szCs w:val="18"/>
                <w:color w:val="auto"/>
                <w:w w:val="95"/>
              </w:rPr>
              <w:t>F-1</w:t>
            </w: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Privia Health Group,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Privia Health Group, Inc. and its subsidiaries (the “Company”) as of December 31, 2023 and 2022, and the related consolidated statements of operations,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taken as a whole, and we are not, by communicating the critical audit matters below, providing separate opinions on the critical audit matters or on the accounts or disclosures to which they relate.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Fee for Service Patient Care Accounts Receivable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substantially all of the Company’s accounts receivable relate to providing healthcare services to patients whose costs are primarily paid by federal and state governmental authorities or commercial insurance companies. The fee for service patient care (FFS patient care) accounts receivable makes up a portion of the Company’s consolidated net accounts receivable balance of $290.8 million as of December 31, 2023. FFS patient care revenue is primarily generated from third-party payers with which management has established contractual billing arrangements and is reported net of provisions for contractual allowances from third-party payers and patients. Management reports accounts receivable at an amount equal to the consideration the Company expects to receive in exchange for providing healthcare services to patients, which is estimated using historical reimbursement rates and an analysis of past experience to estimate potential adjustments.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FFS patient care accounts receivable is a critical audit matter are (i) the significant judgment by management when developing the estimated value of FFS patient care accounts receivable and (ii) a high degree of auditor judgment, subjectivity, and effort in performing procedures and evaluating audit evidence related to adjustments based on historical reimbursement rates and analysis of past experience.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FFS patient care accounts receivable. These procedures also included, among others (i) testing management’s process for developing the estimated value of FFS patient care accounts receivable, (ii) evaluating the appropriateness of management’s historical reimbursement rates and analysis of past experience to estimate potential adjustments, (iii) testing the completeness and accuracy of the underlying billing and reimbursement data used by management to estimate potential adjustments, and (iv) evaluating the historical accuracy of management’s process for developing the estimated value of FFS patient care accounts receivable by (a) testing, on a sample basis, the accuracy of revenue transactions and cash collections from the historical billing and reimbursement data used in management’s analysis and (b) comparing actual cash collections to the previously recorded estimated FFS patient care accounts receivable balance as of the prior year balance sheet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Medicare Shared Savings Program Revenue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under the shared savings basis, the Company is offered financial incentives to increase their accountability for the cost, quality and efficiency of the care provided to the population of attributed members. Revenue from the Medicare Shared Savings Program (MSSP) makes up the majority of the Company’s consolidated shared savings revenue of $170.1 million for the year ended December 31, 2023. The Company is paid the financial incentives when, for a given twelve-month measurement period, their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 Management estimates the transaction price by analyzing the activities during the relevant time period in contemplation of the agreed upon benchmarks, metrics, performance criteria, inflation trend factors, risk ratio adjustments, and attribution criteria based on those and any other contractually defined factors. Revenue is not recorded until the price can be estimated by management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MSSP revenue is a critical audit matter are (i) the significant judgment by management when developing the estimate of MSSP revenue, (ii) a high degree of auditor judgment, subjectivity, and effort in performing procedures and evaluating management’s significant assumptions related to inflation trend factors and risk ratio adjustments, and (iii) the audit effort involved the use of professionals with specialized skill and knowledge.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MSSP revenue. These procedures also included, among others (i) testing the completeness and accuracy of the underlying data used by management and (ii) the involvement of professionals with specialized skill and knowledge to assist in evaluating the reasonableness of management’s estimate of MSSP revenue, on a sample basis, by (a) developing an independent range of estimated MSSP revenue using independently developed assumptions related to inflation trend factors and risk ratio adjustments and (b) comparing the independent range of estimated MSSP revenue to management’s estimate.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Provider Liability for Unpaid Medical Claims Under At-Risk Capitation Arrangements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8 to the consolidated financial statements, the Company’s consolidated provider liability for unpaid medical claims under at-risk capitation arrangements was $67.1 million as of December 31, 2023. Provider liability estimates are developed using actuarial methods commonly used by health insurance actuaries that include a number of factors and assumptions including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medical service utilization trends, changes in membership, observed medical cost trends, historical claim payment patterns and other factors. Each period, management re-examines previously established provider liability estimates based on actual claim submissions and other changes in facts and circumstances. As more complete claims information becomes available, management adjusts the estimates and recognizes changes in estimates in the period in which the change is identified. The estimated liability for unpaid medical claims under at-risk capitation arrangements is included in provider liability on the consolidated balance sheet.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provider liability for unpaid medical claims liability under at-risk capitation arrangements is a critical audit matter are (i) the significant judgment by management when developing the estimate of the provider liability for unpaid medical claims under at-risk capitation arrangements, (ii) a high degree of auditor judgment, subjectivity and effort in performing procedures and evaluating management’s significant assumptions related to changes in membership and observed medical cost trends, and (iii) the audit effort involved the use of professionals with specialized skill and knowledge.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valuation of the provider liability for unpaid medical claims under at-risk capitation arrangements. These procedures also included, among others (i) testing the completeness and accuracy of the underlying data used by management and (ii) the involvement of professionals with specialized skill and knowledge to assist in (a) testing management’s process for developing the estimate of the provider liability for unpaid medical claims under at-risk capitation arrangements, (b) evaluating the appropriateness of management’s actuarial methodologies, and (c) evaluating the reasonableness of management’s significant assumptions related to changes in membership and observed medical cost trends.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 which includes periods before the Company became subject to SEC reporting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714"/>
        </w:trPr>
        <w:tc>
          <w:tcPr>
            <w:tcW w:w="1280" w:type="dxa"/>
            <w:vAlign w:val="bottom"/>
            <w:tcBorders>
              <w:top w:val="single" w:sz="8" w:color="0000FF"/>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Privia Health Group,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12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32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8"/>
        </w:trPr>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7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347,992</w:t>
            </w:r>
          </w:p>
        </w:tc>
      </w:tr>
      <w:tr>
        <w:trPr>
          <w:trHeight w:val="230"/>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189,604</w:t>
            </w: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551,962</w:t>
            </w: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30"/>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Right-of-use asset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r>
      <w:tr>
        <w:trPr>
          <w:trHeight w:val="22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57,387</w:t>
            </w:r>
          </w:p>
        </w:tc>
      </w:tr>
      <w:tr>
        <w:trPr>
          <w:trHeight w:val="230"/>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w:t>
            </w:r>
          </w:p>
        </w:tc>
      </w:tr>
      <w:tr>
        <w:trPr>
          <w:trHeight w:val="22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Deferred tax asset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40,368</w:t>
            </w: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299,096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240,851</w:t>
            </w: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792,813</w:t>
            </w:r>
          </w:p>
        </w:tc>
      </w:tr>
      <w:tr>
        <w:trPr>
          <w:trHeight w:val="20"/>
        </w:trPr>
        <w:tc>
          <w:tcPr>
            <w:tcW w:w="7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52,837</w:t>
            </w:r>
          </w:p>
        </w:tc>
      </w:tr>
      <w:tr>
        <w:trPr>
          <w:trHeight w:val="229"/>
        </w:trPr>
        <w:tc>
          <w:tcPr>
            <w:tcW w:w="7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Provider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208,424</w:t>
            </w:r>
          </w:p>
        </w:tc>
      </w:tr>
      <w:tr>
        <w:trPr>
          <w:trHeight w:val="230"/>
        </w:trPr>
        <w:tc>
          <w:tcPr>
            <w:tcW w:w="74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386,952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264,274</w:t>
            </w:r>
          </w:p>
        </w:tc>
      </w:tr>
      <w:tr>
        <w:trPr>
          <w:trHeight w:val="20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r>
      <w:tr>
        <w:trPr>
          <w:trHeight w:val="230"/>
        </w:trPr>
        <w:tc>
          <w:tcPr>
            <w:tcW w:w="7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w:t>
            </w:r>
          </w:p>
        </w:tc>
      </w:tr>
      <w:tr>
        <w:trPr>
          <w:trHeight w:val="22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273,764</w:t>
            </w:r>
          </w:p>
        </w:tc>
      </w:tr>
      <w:tr>
        <w:trPr>
          <w:trHeight w:val="21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1,000,000,000 and 1,000,000,000 shares authorized; 118,216,979</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5"/>
        </w:trPr>
        <w:tc>
          <w:tcPr>
            <w:tcW w:w="7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114,690,808 shares issued and outstanding at December 31, 2023 and December 31, 2022,</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30"/>
        </w:trPr>
        <w:tc>
          <w:tcPr>
            <w:tcW w:w="74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714,639</w:t>
            </w:r>
          </w:p>
        </w:tc>
      </w:tr>
      <w:tr>
        <w:trPr>
          <w:trHeight w:val="230"/>
        </w:trPr>
        <w:tc>
          <w:tcPr>
            <w:tcW w:w="74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(216,693)</w:t>
            </w:r>
          </w:p>
        </w:tc>
      </w:tr>
      <w:tr>
        <w:trPr>
          <w:trHeight w:val="223"/>
        </w:trPr>
        <w:tc>
          <w:tcPr>
            <w:tcW w:w="74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Privia Health Group, Inc.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499,094</w:t>
            </w:r>
          </w:p>
        </w:tc>
      </w:tr>
      <w:tr>
        <w:trPr>
          <w:trHeight w:val="230"/>
        </w:trPr>
        <w:tc>
          <w:tcPr>
            <w:tcW w:w="74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w:t>
            </w:r>
          </w:p>
        </w:tc>
      </w:tr>
      <w:tr>
        <w:trPr>
          <w:trHeight w:val="22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519,049</w:t>
            </w: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792,813</w:t>
            </w:r>
          </w:p>
        </w:tc>
      </w:tr>
      <w:tr>
        <w:trPr>
          <w:trHeight w:val="20"/>
        </w:trPr>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966,220</w:t>
            </w:r>
          </w:p>
        </w:tc>
        <w:tc>
          <w:tcPr>
            <w:tcW w:w="0" w:type="dxa"/>
            <w:vAlign w:val="bottom"/>
          </w:tcPr>
          <w:p>
            <w:pPr>
              <w:spacing w:after="0"/>
              <w:rPr>
                <w:sz w:val="1"/>
                <w:szCs w:val="1"/>
                <w:color w:val="auto"/>
              </w:rPr>
            </w:pPr>
          </w:p>
        </w:tc>
      </w:tr>
      <w:tr>
        <w:trPr>
          <w:trHeight w:val="256"/>
        </w:trPr>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Provider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727,827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platform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174,731</w:t>
            </w:r>
          </w:p>
        </w:tc>
        <w:tc>
          <w:tcPr>
            <w:tcW w:w="0" w:type="dxa"/>
            <w:vAlign w:val="bottom"/>
          </w:tcPr>
          <w:p>
            <w:pPr>
              <w:spacing w:after="0"/>
              <w:rPr>
                <w:sz w:val="1"/>
                <w:szCs w:val="1"/>
                <w:color w:val="auto"/>
              </w:rPr>
            </w:pPr>
          </w:p>
        </w:tc>
      </w:tr>
      <w:tr>
        <w:trPr>
          <w:trHeight w:val="230"/>
        </w:trPr>
        <w:tc>
          <w:tcPr>
            <w:tcW w:w="6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255,884</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1,375,782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1,183,656</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(218,506)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(190,649)</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income attributable to Privia Health Group, Inc.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(188,230)</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income (loss) income per share attributable to Privia Health Group, Inc.</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 basic</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Net income (loss) income per share attributable to Privia Health Group, Inc.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380" w:type="dxa"/>
            <w:vAlign w:val="bottom"/>
            <w:vMerge w:val="continue"/>
          </w:tcPr>
          <w:p>
            <w:pPr>
              <w:spacing w:after="0"/>
              <w:rPr>
                <w:sz w:val="11"/>
                <w:szCs w:val="11"/>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1"/>
                <w:szCs w:val="11"/>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1"/>
                <w:szCs w:val="11"/>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 diluted</w:t>
            </w: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116,731,406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110,695,266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102,952,370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124,686,067</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110,695,266</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102,952,370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00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Privia Health</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7"/>
        </w:trPr>
        <w:tc>
          <w:tcPr>
            <w:tcW w:w="300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Group, Inc.</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3"/>
        </w:trPr>
        <w:tc>
          <w:tcPr>
            <w:tcW w:w="3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95,985,817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143,652</w:t>
            </w:r>
          </w:p>
        </w:tc>
      </w:tr>
      <w:tr>
        <w:trPr>
          <w:trHeight w:val="175"/>
        </w:trPr>
        <w:tc>
          <w:tcPr>
            <w:tcW w:w="3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 of initial public offering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210,994</w:t>
            </w:r>
          </w:p>
        </w:tc>
      </w:tr>
      <w:tr>
        <w:trPr>
          <w:trHeight w:val="175"/>
        </w:trPr>
        <w:tc>
          <w:tcPr>
            <w:tcW w:w="30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6"/>
        </w:trPr>
        <w:tc>
          <w:tcPr>
            <w:tcW w:w="30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2,126,924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253,531</w:t>
            </w:r>
          </w:p>
        </w:tc>
      </w:tr>
      <w:tr>
        <w:trPr>
          <w:trHeight w:val="229"/>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Contributed non-controlling interest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28,824</w:t>
            </w:r>
          </w:p>
        </w:tc>
      </w:tr>
      <w:tr>
        <w:trPr>
          <w:trHeight w:val="230"/>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(190,649)</w:t>
            </w:r>
          </w:p>
        </w:tc>
      </w:tr>
      <w:tr>
        <w:trPr>
          <w:trHeight w:val="155"/>
        </w:trPr>
        <w:tc>
          <w:tcPr>
            <w:tcW w:w="30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at Balance at December 31,</w:t>
            </w: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107,837,741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450,181</w:t>
            </w:r>
          </w:p>
        </w:tc>
      </w:tr>
      <w:tr>
        <w:trPr>
          <w:trHeight w:val="176"/>
        </w:trPr>
        <w:tc>
          <w:tcPr>
            <w:tcW w:w="3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30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6,853,067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29"/>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67,359</w:t>
            </w:r>
          </w:p>
        </w:tc>
      </w:tr>
      <w:tr>
        <w:trPr>
          <w:trHeight w:val="229"/>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Contributed non-controlling 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114,690,808</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714,639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(216,693)</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499,094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519,049</w:t>
            </w: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3,526,171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w:t>
            </w: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Contributed non-controlling interest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w:t>
            </w: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effect related to purchase of non-</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118,216,979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607,389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(190,649)</w:t>
            </w:r>
          </w:p>
        </w:tc>
      </w:tr>
      <w:tr>
        <w:trPr>
          <w:trHeight w:val="176"/>
        </w:trPr>
        <w:tc>
          <w:tcPr>
            <w:tcW w:w="6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253,531</w:t>
            </w: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Issuance costs Amortization</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w:t>
            </w: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non-current assets and right-of-use asset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Provider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r>
      <w:tr>
        <w:trPr>
          <w:trHeight w:val="229"/>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55,058</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(32,228)</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(42,971)</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initial public offering</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223,685</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Payments of underwriting fees, net of discounts and offering costs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non-controlling interest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30"/>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213,661</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235,944</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347,992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320,577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84,633</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389,511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347,992</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320,577</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6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4"/>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1,040</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5"/>
        </w:trPr>
        <w:tc>
          <w:tcPr>
            <w:tcW w:w="6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Privia Health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ind w:right="6300" w:firstLine="8"/>
        <w:spacing w:after="0" w:line="378" w:lineRule="auto"/>
        <w:tabs>
          <w:tab w:leader="none" w:pos="16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Privia Health Group, Inc. (“Privia Health”, “Privia”, or the “Company”)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(the “Privia Platform”).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Privia operated in fifteen markets: 1) the Mid-Atlantic Region (states of Virginia, Maryland and the District of Columbia); 2) Georgia; 3) Gulf Coast Region (Houston, Texas); 4) North Texas (Dallas/Fort Worth, Texas); 5) West Texas (Abilene, Texas); 6) Central Florida; 7) Tennessee 8) California; 9) Montana; 10) Ohio; 11) North Carolina; 12) Delaware; 13) Connecticut; 14) Washington state; and 15) South Carolina.</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standard Privia Medical Group model, medical groups are formed in a market with the primary purpose to operate as a physician group practice with healthcare services being furnished through physician members (“Privia Physicians”) and non-physician clinicians (together, “Privia Providers”) supervised by Privia Physicians. Privia Physicians typically enter into a PMSA with a medical group, which requires the Privia Physician to provide healthcare services through and on behalf of the medical group. In conjunction with the PMSA, the medical group enters a Support Services Agreement (“SSA”) with the Privia Physician’s historic practice entity (“Affiliated Practice”) whereby the Affiliated Practice provides certain subcontracted services to the medical group to allow the medical group to operate at the practice location.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own any Affiliated Practice, nor does the Company have risk of loss related to the Affiliated Practices; rather, they are typically owned by certain Privia Physicians. The Company’s ownership varies by state, creating three types of medical groups: Owned Medical Groups, Non-Owned Medical Groups and Friendly Medical Groups (which are also Non-Owned Medical Groups). The Company majority owns Owned Medical Groups in those markets where medical group ownership is allowed with Privia Physicians owning, in the aggregate, the minority interest in the medical group. In other markets where state regulations do not allow the Company to own the medical group, the Companies “Non-Owned Medical Groups” are either (a) 100% owned by the Privia Physicians or (b) majority owned, indirectly through a professional entity (“Nominee PC”), by a licensed physician holding a Privia leadership position (such physician leader, a “Nominee Physician” and each such Non-Owned Medical Group owned in this manner, a “Friendly Medical Group”). Currently, the Company has Friendly Medical Groups in Tennessee, West Texas, Washington state and South Carolina. The Company has entered into a restriction agreement with each of its Nominee Physicians and their respective Nominee PCs, which provides the Company the right to direct the transfer of each Nominee PC’s ownership in the Friendly Medical Groups to other licensed physicians, among other matters. Owned Medical Groups and Friendly Medical Groups are consolidated into the Company, while Non-Owned Medical Groups are not. For Non-Owned Medical Groups and Friendly Medical Groups, please refer to the discussion of “Variable Interest Entities” for further discussion.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forms local management companies to provide administrative and management services (“MSOs”) to the medical groups through a Management Services Agreement (“MSA”) in each market. The Company owns 100% of all MSOs, except four where the Company is at least the majority owner.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each market, Privia has three different sources of revenue: 1) Fee-for-service (“FFS”) revenue consisting of: a) FFS-patient care revenue which is primarily earned through Owned Medical Groups and b) FFS-administrative services revenue which is primarily earned by owned MSOs from Non-Owned Medical Groups through the MSAs; 2) VBC revenue consisting of: a) Capitated revenue, b) shared savings and c) care management fees (“PMPM”) all of which are primarily earned through Company-owned Accountable Care Organizations (“ACOs”) in each market ; and 3) Other revenue which is earned from services provided to patients of both Owned and Non-Owned Medical Groups.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United States generally accepted accounting principles (“GAAP”) and include the accounts of the Company and its subsidiaries. Amounts shown on the consolidated statements of operations within the operating expense categories of provider expense, cost of platform, selling and marketing, and general and administrative are recorded exclusive of depreciation and amortization.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transactions are eliminated in consolidation.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evaluated its relationship with (a) Non-Owned Medical Groups and their Affiliated Practices, (b) Friendly Medical Groups and their Affiliated Practices, and (c) Affiliated Practices associated with Owned Medical Groups to determine if any of these entities should be subject to consolidation. The Company does not have ownership interest in any Affiliated Practices (whether those of Owned Medical Groups, Non-Owned Medical Groups or Friendly Medical Groups); nor does the Company have an ownership in Non-Owned Medical Groups or Friendly Medical Groups. The PMSA and support services agreement (“SSA”) entered by Non-Owned Medical Groups and Friendly Medical Groups with their Privia Physician members and the Affiliated Practices are not contractual relationships within Privia’s legal structure. The only contractual relationship between Privia and Non-Owned Medical Groups is established through the MSA. For Friendly Medical Groups, in addition to the MSA, the Company has a contractual relationship, evidenced by a restriction agreement (each a “Restriction Agreement”) with its Nominee Physicians and their respective Nominee PCs. Management has determined, based on the provisions of the MSAs between the Company and Non-Owned Medical Groups, and after considering the requirements of Accounting Standards Codification (“ASC”) Topic 810, Consolidation (“ASC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 However, management has determined, based on the provisions of the Restriction Agreement by and among the Company, the Nominee Physicians and their respective Nominee PCs, the governing documents of the Friendly Medical Groups, and after considering the requirements of ASC 810, that the Company should consolidate the financial position or results of operations of the Friendly Medical Groups and the Nominee PCs, but not the Affiliated Practices of the Friendly Medical Groups.</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810 requires the Company to consolidate the financial position, results of operations and cash flows of a Non-Owned Medical Group affiliated by means of a service agreement if the Non-Owned Medical Group is a VIE and the Company is its primary beneficiary. A Non-Owned Medical Group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years ended December 31, 2023, 2022 and 2021.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however, does meet the criteria for consolidation of the Nominee PCs and the Friendly Medical Groups based on the discussion above.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2023, the Company announced a partnership with Community Medical Group, the largest Clinically Integrated Network (“CIN”) in Connecticut with approximately 1,100 multi-specialty providers, to launch Privia Quality Network Connecticut (“PQN-CT”). The Company performed an analysis as noted above and determined that PQN- CT does not represent a VIE as it does not meet the criteria in ASC 810, but the entity is consolidated because Privia owns a majority of the voting interest in the entity.</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Privia Medical Group – West Texas, PLLC, (“PMG West Texas”) is a physician-owned Medical Group, with PMG West Texas Holdings, PLLC (“Friendly WTX PC”), a Texas professional limited liability company entirely owned by a licensed physician with a leadership role in the Company, owning majority membership interests and having governance and control rights via the governing documents of PMG West Texas. The Company has a contractual relationship with Friendly WTX PC through a Restriction Agreement. The VIE analysis was performed, and the Company determined that characteristic</w:t>
      </w:r>
    </w:p>
    <w:p>
      <w:pPr>
        <w:spacing w:after="0" w:line="3" w:lineRule="exact"/>
        <w:rPr>
          <w:sz w:val="20"/>
          <w:szCs w:val="20"/>
          <w:color w:val="auto"/>
        </w:rPr>
      </w:pPr>
    </w:p>
    <w:p>
      <w:pPr>
        <w:ind w:firstLine="8"/>
        <w:spacing w:after="0" w:line="260" w:lineRule="auto"/>
        <w:tabs>
          <w:tab w:leader="none" w:pos="2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exists as a result of meeting (ii) and (iv) and as such, PMG West Texas and Friendly WTX PC do represent VIEs and are consolidated as they do meet the criteria in ASC 810.</w:t>
      </w:r>
    </w:p>
    <w:p>
      <w:pPr>
        <w:spacing w:after="0" w:line="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Privia Medical Group Tennessee, PLLC (“PMG-TN”) is a physician-owned Medical Group, with PMG-TN Physicians, PLLC, a Tennessee professional limited liability company entirely owned by a licensed physician with a leadership role in the Company (“Friendly TN PC”), owning majority membership interests therein and having governance and control rights via the governing documents of PMG-TN. Again, the same analysis was performed, and the Company determined that characteristic (b) exists as a result of meeting (ii) and (iv) and as such, PMG-TN and Friendly TN PC do represent VIEs as they do meet the criteria in ASC 810.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Privia Medical Group Washington, PLLC, (“PMG WA”) is a physician-owned Medical Group, with PMG Washington Holdings, PLLC (“Friendly WA PC”), a Washington professional limited liability company entirely owned by a licensed physician with a leadership role in the Company, owning majority membership interests and having governance and control rights via the governing documents of PMG WA. The Company has a contractual relationship with Friendly WA PC through a Restriction Agreement. The VIE analysis was performed, and the Company determined that characteristic (b) exists as a result of meeting (i), (ii) and (iv) and as such, PMG WA and Friendly WA PC do represent VIEs and are consolidated as they do meet the criteria in ASC 810.</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Privia Medical Group South Carolina, LLC, (“PMG SC”) is a physician-owned Medical Group, with PMG South Carolina Holdings, PLLC (“Friendly SC PC”), a South Carolina professional limited liability company entirely owned by a licensed physician with a leadership role in the Company, owning majority membership interests and having governance and control rights via the governing documents of PMG SC. The Company has a contractual relationship with Friendly SC PC through a Restriction Agreement. The VIE analysis was performed, and the Company determined that characteristic (b) exists as a result of meeting (i), (ii) and (iv) and as such PMG SC and Friendly SC PC represent VIEs and are consolidated as they meet the criteria in ASC 810.</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aggregated carrying value of the current VIE assets and liabilities included in the consolidated balance sheets after elimination of intercompany transactions and balances were $6.2 million and $6.2 million, respectively, as of December 31, 2023 and $1.4 million and $1.4 million respectively, as of December 31, 2022. Total revenues and operating expenses were $61.1 million and $61.1 million, respectively, as of December 31, 2023, $34.9 million and $34.9 million, respectively, as of December 31, 2022, and $5.8 million and $5.8 million, respectively, as of December 31,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revenue, expenses, and related disclosure. On an on-going basis the Company evaluates significant estimates and assumptions, including, but not limited to, revenue recognition, stock-based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determined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that the Company operates in and reports as a single operating segment, and therefore one reporting segment – Privia Health Group, Inc. Refer to Note 17 “Segment Financial Information” for additional information concerning the Company’s services.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unrestricted, liquid financial instruments purchased with original maturity dates of three months or less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stated at cost which approximates fair value.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accounts receivable relate to providing health care services to patients whose costs are primarily paid by federal and state governmental authorities or commercial insurance companies. The Company reports accounts receivable at an amount equal to the consideration the Company expects to receive in exchange for providing healthcare services to patients, which is estimated using historical reimbursement rates and an analysis of past experience to estimate potential adjustments.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writes-off receivables when they are deemed uncollectible because of circumstances that affect the ability of payers and self-pay patients to make payments as they occur. While write-offs of customer accounts have historically been within management’s expectations and the provisions established, management cannot guarantee that future write-offs will be consistent with historical experience, which could result in material differences when compared to the Company’s allowances and related provisions.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Unearned 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unearned revenue, which is a contract liability, when it has an obligation to provide services and payment is received in advance of performance of those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consist of furniture and fixtures, leasehold improvements, and computer hardware and software and are stated at cost, with the exception of assets acquired through acquisitions, which are recorded at fair value, less accumulated depreciation and amortization. Depreciation is recognized on a straight-line method over the assets’ estimated useful lives, which for leasehold improvements are the lesser of the lease terms or the life of the asset, and three to seven years for other property and equipment. Property and equipment consisting of leasehold improvements, furniture, computers and office equipment.</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Internal-Use Software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costs related to internal-use software during the application development stage including consulting costs and compensation expenses related to employees who devote time to development projects. Costs incurred in the preliminary stages of development activities and post implementation activities are expensed in the period incurred and included in cost of platform expense in the consolidated statements of operations. The Company also capitalizes costs related to specific upgrades and enhancements when it is probable the expenditures will result in additional functionality. The Company records capitalized software development costs in property and equipment, net. Capitalized internal-use software costs are amortized on a straight-line basis over the software’s estimated useful life.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us to allocate the fair value of purchase considerations to the tangible assets acquired, liabilities assumed, and intangible assets acquired based on their estimated fair values, which were determined primarily using the income method. The excess of the fair value of purchase consideration over the fair values of these identified assets and liabilities is recorded as goodwill. Such valuations require us to make significant estimates and assumptions, especially at the acquisition date with respect to intangible assets. Significant estimates in valuing certain intangible assets include, but are not limited to, revenue growth rates, medical claims expense, cost of care expenses, operating expenses, discount rate, contract terms and useful life from acquired assets.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estimates of fair value are based upon assumptions believed to be reasonable, but which are inherently uncertain and unpredictable and, as a result, actual results may differ from estimates. Allocation of purchase consideration to identifiable assets and liabilities affects the Company’s amortization expense, as acquired finite-lived intangible assets are amortized over the useful life, whereas any indefinite lived intangible assets, including goodwill, are not amortized. During the measurement period, which is not to exceed one year from the acquisition date, the Company may record adjustments to the assets acquired and liabilities assumed, with the corresponding offset to goodwill. Upon the conclusion of the measurement period, any subsequent adjustments are recorded to earnings. During the years ended December 31, 2023 and 2021, the Company completed several acquisitions to strengthen its current market share in existing markets or to expand into new markets. The consideration paid for each of the acquisitions was derived through arm’s length negotiations. Each of the Company’s acquisitions was accounted for using the acquisition method pursuant to the requirements of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results of operations of the acquisitions have been included in the Company’s consolidated financial statements since their respective date of acquisition. For additional details, refer to Note 3 “Business Combinations.”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can be recognized in loss from operations when estimated undiscounted future cash flows expected to result from the use of an asset group are less than its carrying amount. The impairment loss is based on the excess of the carrying value of the impaired asset group over its fair value, determined based on discounted cash flows. The Company did not record any impairment losses on long-lived assets during the years ended December 31, 2023, 2022 or 2021.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plus the fair value of any non-controlling interests in the acquiree, over the fair value of identifiable net assets acquired.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 completes a single assessment of Goodwill as it has one reporting unit.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there was no impairment loss related to goodwill. For additional details, refer to Note 4 “Goodwill and Intangible Assets, Net.”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Definite-lived intangible assets represent the estimated fair value of intangible assets acquired. Amortization is calculated using the straight-line method over the estimated useful lives of the intangible assets which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5220" w:type="dxa"/>
            <w:vAlign w:val="bottom"/>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customer relationships</w:t>
            </w:r>
          </w:p>
        </w:tc>
        <w:tc>
          <w:tcPr>
            <w:tcW w:w="5220" w:type="dxa"/>
            <w:vAlign w:val="bottom"/>
          </w:tcPr>
          <w:p>
            <w:pPr>
              <w:jc w:val="center"/>
              <w:ind w:left="2830"/>
              <w:spacing w:after="0"/>
              <w:rPr>
                <w:sz w:val="20"/>
                <w:szCs w:val="20"/>
                <w:color w:val="auto"/>
              </w:rPr>
            </w:pPr>
            <w:r>
              <w:rPr>
                <w:rFonts w:ascii="Times New Roman" w:cs="Times New Roman" w:eastAsia="Times New Roman" w:hAnsi="Times New Roman"/>
                <w:sz w:val="18"/>
                <w:szCs w:val="18"/>
                <w:color w:val="auto"/>
              </w:rPr>
              <w:t>10 - 24 years</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 Agreement</w:t>
            </w:r>
          </w:p>
        </w:tc>
        <w:tc>
          <w:tcPr>
            <w:tcW w:w="5220" w:type="dxa"/>
            <w:vAlign w:val="bottom"/>
            <w:shd w:val="clear" w:color="auto" w:fill="CCEEFF"/>
          </w:tcPr>
          <w:p>
            <w:pPr>
              <w:jc w:val="center"/>
              <w:ind w:left="2850"/>
              <w:spacing w:after="0"/>
              <w:rPr>
                <w:sz w:val="20"/>
                <w:szCs w:val="20"/>
                <w:color w:val="auto"/>
              </w:rPr>
            </w:pPr>
            <w:r>
              <w:rPr>
                <w:rFonts w:ascii="Times New Roman" w:cs="Times New Roman" w:eastAsia="Times New Roman" w:hAnsi="Times New Roman"/>
                <w:sz w:val="18"/>
                <w:szCs w:val="18"/>
                <w:color w:val="auto"/>
                <w:w w:val="99"/>
              </w:rPr>
              <w:t>16 years</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Physician network</w:t>
            </w:r>
          </w:p>
        </w:tc>
        <w:tc>
          <w:tcPr>
            <w:tcW w:w="522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contracts</w:t>
            </w:r>
          </w:p>
        </w:tc>
        <w:tc>
          <w:tcPr>
            <w:tcW w:w="5220" w:type="dxa"/>
            <w:vAlign w:val="bottom"/>
            <w:shd w:val="clear" w:color="auto" w:fill="CCEEFF"/>
          </w:tcPr>
          <w:p>
            <w:pPr>
              <w:jc w:val="center"/>
              <w:ind w:left="2830"/>
              <w:spacing w:after="0"/>
              <w:rPr>
                <w:sz w:val="20"/>
                <w:szCs w:val="20"/>
                <w:color w:val="auto"/>
              </w:rPr>
            </w:pPr>
            <w:r>
              <w:rPr>
                <w:rFonts w:ascii="Times New Roman" w:cs="Times New Roman" w:eastAsia="Times New Roman" w:hAnsi="Times New Roman"/>
                <w:sz w:val="18"/>
                <w:szCs w:val="18"/>
                <w:color w:val="auto"/>
              </w:rPr>
              <w:t>17 - 22 years</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MSO Service Agreement</w:t>
            </w:r>
          </w:p>
        </w:tc>
        <w:tc>
          <w:tcPr>
            <w:tcW w:w="5220" w:type="dxa"/>
            <w:vAlign w:val="bottom"/>
          </w:tcPr>
          <w:p>
            <w:pPr>
              <w:jc w:val="center"/>
              <w:ind w:left="2850"/>
              <w:spacing w:after="0"/>
              <w:rPr>
                <w:sz w:val="20"/>
                <w:szCs w:val="20"/>
                <w:color w:val="auto"/>
              </w:rPr>
            </w:pPr>
            <w:r>
              <w:rPr>
                <w:rFonts w:ascii="Times New Roman" w:cs="Times New Roman" w:eastAsia="Times New Roman" w:hAnsi="Times New Roman"/>
                <w:sz w:val="18"/>
                <w:szCs w:val="18"/>
                <w:color w:val="auto"/>
                <w:w w:val="99"/>
              </w:rPr>
              <w:t>21 years</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the carrying value of its finite-lived intangible assets for impairment whenever events and circumstances indicate that the carrying value of an asset may not be recoverable from the estimated future cash flows expected to result from its use and eventual disposition. If these future undiscounted cash flows are less than the carrying value of the asset, then the carrying amount of the asset is written down to its fair value, based on the related estimated discounted future cash flows. The factors considered by management in performing this assessment include current operating results; trends and prospects; the manner in which the intangible assets are used; and the effects of obsolescence, demand, competition and other economic factors. Based on this assessment, no impairment was recorded for the years ended December 31, 2023, 2022 and 2021. For additional details, refer to Note 4 “Goodwill and Intangible Assets, Net.”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represent costs incurred to issue the Company’s note payable and are recorded as a direct reduction to the Company’s note payable. These costs are amortized over the term of the applicable indebtedness using the effective interest method. Amortization is included in interest expense in the accompanying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derives revenues from the following three sources: (i) FFS revenue, (ii) VBC revenue and (iii) other revenue from additional services offered by Privia to its Privia Providers or directly to patients or employers. To determine revenue recognition for arrangements that an entity determines are within the scope of ASC 606, the Company performs the following five steps:</w:t>
      </w:r>
    </w:p>
    <w:p>
      <w:pPr>
        <w:spacing w:after="0" w:line="68"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entity satisfies a performance obligation.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FFS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FFS-patient care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FFS-patient care revenue is primarily generated from providing healthcare services to patients. Providing medical services to patients represents the Company’s performance obligation under these third-party payer agreements, and accordingly, the transaction price is allocated entirely to that one performance obligation. The Company recognizes revenue as services are rendered and approved by the Privia Providers, which is typically a single day for each service. The Company receives payment for services from third-party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FFS-patient care revenue is reported net of provisions for contractual allowances from third-party payers and patients. The Company has certain agreements with third-party payers that provide for reimbursement at amounts different from the Company’s standard billing rates. The differences between the estimated reimbursement rates and the standard billing rates are accounted for as contractual adjustments, which are deducted from gross revenue to arrive at FFS-patient care revenue. The Company determines the Company’s estimate of implicit price concessions based on the Company’s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2023, 2022 and 2021, changes in the Company’s estimates of implicit price concessions, contractual adjustments, and expected payments for performance obligations satisfied in prior periods were not significant.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the Company’s treatment of revenue from Owned Medical Groups and Friendly Medical Groups, it is necessary to assess whether the Company is the principal or the agent with respect to FFS-patient care revenue in light of the fact that healthcare services are furnished by Privia Providers rather than employees of the Owned Medical Groups. ASC 606-10-55-37A indicates that an entity is a principal if it obtains control of a right to a service to be performed by another party, which gives the entity the ability to direct that party to perform the services to the customer on the entity’s behalf. The Owned Medical Groups, which are each majority-owned and controlled by us, own the contractual relationships with the patients and the third-party payers, and they direct Privia Providers to perform healthcare services on the Company’s behalf. Although the Company is prohibited by law from interfering in the physician-patient relationship or making clinical care decisions, the Company’s Owned Medical Groups are responsible for the fulfillment of healthcare services to patients. Further, the Company employs Chief Medical Officers and Medical Directors who provide clinical oversight and direction over the clinical affairs of the Owned Medical Groups. In addition, the Owned Medical Group provides the care coordination activities, patient outreach and education activities, and sets quality standards for Privia Providers. The Company also verifies that Privia Providers have the proper qualifications (e.g., correct licenses, certificates, etc.) for the Company’s Owned Medical Groups, for the Company and as a delegate on behalf of certain third-party payers. In addition to oversight of health care services, the Owned Medical Group is also the party primarily responsible for providing the services to patients and maintains discretion in establishing pricing for all services through agreements with patients and their insurance payers. The Owned Medical Groups negotiate and enter into provider agreements with third-party payer insurance companies, which outline the obligations of the Owned Medical Group and the third-party payers in connection with providing patient care services to covered patients. This includes setting the reimbursement rate for all services provided by the Owned Medical Groups.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who is the principal in providing the patient care services, the Company considered who controls the provision of patient care services. As a result of the Company’s oversight of Owned Medical Groups (including setting the expectations for the Owned Medical Group’s patients and the commercial payers’ expectations of the Owned Medical Groups) and the contractual relationships with patients and their third-party payers, the Company is the principal in these relationships.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FFS-administrative services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FFS-administrative services business provides administration and management services pursuant to MSA with Non-Owned Medical Groups.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MSAs with the Non-Owned Medical Groups range from 5 – 20 years in duration and outline the terms and conditions of the administration and management services to be provided, which includes revenue cycle management services such as billings and collections, as well as other services, including, but not limited to, payer contracting, information technology services and accounting and treasury services.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MSAs, the Company is paid a percentage of net collections. The percentage is fixed per the MSAs; however, the net collections can fluctuate during the life of the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fee revenue.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Administrative fees are reported at the amount that reflects the consideration to which the Company expects to be entitled in exchange for the provision of administration and management services to the Non-Owned Medical Groups. In addition, certain of the Company’s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The Company reduces the amount of FFS – administrative services revenue by the amount of any rebates earned by its customers. Rebates of $2.7 million have been recorded for the years ended December 31, 2023 and 2022, respectively. No rebates were recorded for the year ended December 31,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VBC Revenue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VBC business consists of its clinically integrated network and ACOs which bring together independent physician practices within the Company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are paid as follows: (1) Capitated revenue (2) on a shared savings basis and (3) Care management fees on a per member per month basis.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Capitated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Capitated revenue consists of capitation fees earned under contracts with various Medicare Advantage payers (“Payers”) in at-risk capitation arrangements. The Company is entitled to monthly fees to provide a defined range of healthcare services for Medicare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Advantage health plan members (“attributed beneficiaries” or “attributed lives”) attributed to the Company’s contracted physicians (typically primary care). Monthly fees are determined as a percentage of the premium payers receive from the Centers for Medicare &amp; Medicaid Services (“CMS”) for these attributed beneficiaries. In at-risk arrangements, the Company generally accepts financial risk for beneficiaries attributed to its contracted physicians and, therefore, is responsible for the cost of contracted healthcare services required by those beneficiaries in accordance with the terms of each agreement. Fees are recorded gross in revenue because the Company is acting as a principal in coordinating and controlling the range of services provided (other than clinical decisions) under its Capitated revenue contracts with payers. Capitated revenue contracts with payers are generally multi-year arrangements and have a single monthly stand ready performance obligation, as defined by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provide all aspects of necessary medical care to members for the contracted period. The Company recognizes revenue in the month in which the eligible beneficiary is entitled to receive healthcare benefits during the contract term.</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price for the Company’s capitation contracts is a fixed percentage of premium per attributed life with periodic adjustment, as the monthly fees to which the Company is entitled are subject to periodic adjustments under CMS’s risk adjustment payment methodology. CMS deploys a risk adjustment model that determines premiums paid to all payers according to each attributed life’s health status and certain demographic factors. Under this risk adjustment methodology, CMS calculates the risk adjusted premium payment using diagnosis data from various settings. The Company and healthcare providers collect and submit diagnosis data to payers (and ultimately to CMS) to be utilized in the determination of risk adjustments and such data is used by the Company to estimate any adjustments to the Capitated revenue earned that may increase or decrease revenue in subsequent periods pursuant to contractual terms. Such adjustments are estimated using the most likely amount methodology and amounts are only included in revenue to the extent that it is probable that a significant reversal of cumulative revenue will not occur once any uncertainty is resolved. Capitated revenue fees are also subject to adjustment for incentives or penalties based on the achievement of certain quality metrics defined in the Company’s contracts with payers. The Company recognizes incentive revenue as earned using the most likely amount methodology and only to the extent it is probable that a significant reversal of cumulative revenue will not occur once any uncertainty is resolved.</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affiliates are a registered insurance company as state law in the states in which the Company operates do not require such registration for risk bearing providers.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Savings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shared savings basis, the Company is offered financial incentives to increase their accountability for the cost, quality and efficiency of the care provided to the population of attributed members. The Company is paid the financial incentives when, for a given twelve-month measurement period, their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transaction price by analyzing the activities during the relevant time period in contemplation of the agreed upon benchmarks, metrics, performance criteria, inflation trend factors, risks ratio adjustments,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 management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per member per month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remainder of the Company’s revenue is derived from leveraging the Company’s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other receivables, accounts payable, and debt. The Company considers the carrying values of cash and cash equivalents, accounts receivable, other receivables, accounts payable, debt to related parties and debt to be indicative of their respective fair values. The carrying amount for debt is deemed to approximate fair value is defined as the price that would be received to sell an asset or paid to transfer a liability in an orderly transaction between market participants at the measurement date. A three level hierarchy for fair value measurements exists based upon the transparency of inputs to the valuation of an asset or liability as of the measurement date. The three levels are defined as follows: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1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The Company’s financial instruments are considered Level 1 assets and liabilities, with the exception of note payable which is considered Level 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non-controlling interest represents the equity interest of the non-controlling equity holders in results of operations of Privia Management Services Organization, LLC, Privia Management Company Montana, LLC, BASS Privia Management Company of California, LLC, Privia Management Company West Texas, LLC, Privia Management Company North Carolina, LLC, Privia Management Company of Ohio, LLC, Privia Services Company Connecticut, LLC, Privia Quality Network Connecticut, LLC, Privia Quality Network Delaware, LLC and our Owned Medical Groups. The consolidated financial statements include all assets, liabilities, revenues, and expenses of less-than-100%-owned affiliates where the Company has a controlling financial interest. The Company has separately reflected net income attributable to the non-controlling interests in net income in the consolidated statements of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ASC 740 requires that income tax accounts be computed using the asset and liability method. Deferred tax assets and liabilities are recognized for the tax consequences attributable to differences between the financial statement carrying amounts of existing assets and liabilities and their respective tax bases and operating loss and tax credit carryforwards.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the temporary differences are expected to be recovered or settled. Under ASC 740, the effect on deferred tax assets and liabilities of a change in tax rates is recognized in income in the period that includes the enactment date. Should the Company determine that it is more likely than not that some portion or all of its deferred tax assets will not be realized, a valuation allowance to the deferred tax assets would be established in the period such determination was made. State corporate taxes were calculated based on a blended rate calculated based on the Company’s allocation and apportionment to the states. Calculation under the blended rate does not result in a material difference.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requires an entity to recognize the financial statement impact of a tax position when it is more likely than not that the position will be sustained upon examination. If the tax position meets the more likely than not recognition threshold, the tax effect is recognized at the largest amount of the benefit that has greater than a fifty percent likelihood of being realized upon ultimate settlement. ASC 740 also provides guidance for classification, interest and penalties, accounting in interim periods, disclosure, and transition. ASC 740 requires that a liability created for unrecognized tax benefits be presented as a separate liability and not combined with deferred tax liabilities or assets.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and 2022, the Company believes it has appropriately accounted for any unrecognized tax benefits. To the extent the Company prevails in matters for which a liability for an unrecognized tax benefit is established or is required to pay amounts in excess of the liability, the Company’s effective tax rate in a given financial statement period may be affected. As there are no uncertain tax positions, the Company does not have any accrued interest or penalties associated with any unrecognized tax benefits. The Company and its subsidiaries file income tax returns in the U.S. federal jurisdiction and in various state jurisdictions. As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2023, the periods subject to examination by the Company’s major jurisdictions (federal and various states) are generally for the years December 31, 2020 through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Provider 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Provider Liability, previously referred to as “Physician and Practice liability”, represents costs payable to physicians, hospitals and other ancillary providers, including both Privia physicians, their related practices, and providers the Company has contracted with through payer partners. Those costs include amounts that have not yet been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leases in accordance with ASU 2016-2, Leases (Topic 842). The Company evaluates whether a contract is or contains a lease at the inception of the contract. Upon lease commencement, which is defined as the date on which a lessor makes the underlying asset available to the Company for use, the Company classifies the lease as either an operating or finance lease. The Company’s leases primarily consist of operating leases for office space in certain states in which the Company operates. The Company also has operating leases for equipment, which are not significant.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 Lease liabilities are measured at the present value of the remaining, fixed lease payments at lease commencement. The Company uses its incremental borrowing rate, adjusted for the effects of collateralization, based on the information available at the later of adoption, inception, or modification in determining the present value of lease payments. Right-of-use assets are measured at an amount equal to the initial lease liability, plus any prepaid lease payments (less any incentives received) and initial direct costs, at the lease commencement date. The Company has elected to account for lease and non-lease components as a single lease component for its facility leases. As a result, the fixed payments that would otherwise be allocated to the non-lease components are accounted for as lease payments and are included in the measurement of the Company’s right-of-use asset and lease liability. Lease expense for lease payments is recognized on a straight-line basis over the lease term in general and administrative expense on the consolidated statements of operations.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Provider Expense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Provider expense, previously referred to as “Physician and Practice expense”, are amounts accrued or payments made to physicians, hospitals and other service providers, including Privia physicians, their related physician practices, and providers the Company has contracted with through payer partners. Those costs include physician guaranteed payments and other required distributions pursuant to the service agreements as well as medical claims costs for services provided to attributed beneficiaries under at-risk Capitated revenue arrangements for which the Company is financially responsible whether paid directly by the Company or indirectly by payers with whom the Company has contracted. Provider expenses are recognized in the period in which services are provided.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Platform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platform represents the direct costs the Company incurs to provide services to Privia Physicians and their practices. It includes third-party electronic medical records and practice management software expenses, employee-related expenses, including salaries and employee benefits costs, stock-based compensation, as well as consulting expenses, travel-related expenses and technology related expenses for the team. Cost of platform excludes depreciation and amortization expense. Third-party electronic medical records and practice management software expenses are paid on a percentage of revenue basis, while employee-related expenses are variable based on the number of employees used to service the Company’s implemented physicians.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of employee-related expenses, including salaries, stock-based compensation, commissions, and employee benefits costs, for all of the Company’s employees, engaged in marketing, sales, community outreach, and sales support. These employee-related expenses capture all costs for both the Company’s field-based and corporate sales and marketing teams. Sales and marketing expenses also include central and community-based advertising to generate greater awareness, engagement,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375" w:lineRule="auto"/>
        <w:rPr>
          <w:sz w:val="20"/>
          <w:szCs w:val="20"/>
          <w:color w:val="auto"/>
        </w:rPr>
      </w:pPr>
      <w:r>
        <w:rPr>
          <w:rFonts w:ascii="Times New Roman" w:cs="Times New Roman" w:eastAsia="Times New Roman" w:hAnsi="Times New Roman"/>
          <w:sz w:val="18"/>
          <w:szCs w:val="18"/>
          <w:color w:val="auto"/>
        </w:rPr>
        <w:t xml:space="preserve">retention among the Company’s current and prospective patients as well as the infrastructure required to support all of the Company’s marketing efforts. </w:t>
      </w:r>
      <w:r>
        <w:rPr>
          <w:rFonts w:ascii="Times New Roman" w:cs="Times New Roman" w:eastAsia="Times New Roman" w:hAnsi="Times New Roman"/>
          <w:sz w:val="18"/>
          <w:szCs w:val="18"/>
          <w:b w:val="1"/>
          <w:bCs w:val="1"/>
          <w:color w:val="auto"/>
        </w:rPr>
        <w:t>General and Administrative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expenses include employee-related expenses, including salaries and related costs and stock-based compensation, technology infrastructure, operations, clinical and quality support, finance, legal, human resources, and development departments. In addition, general and administrative expenses include all corporate technology and occupancy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expense recognition provisions of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which requires the issuer to recognize compensation expense for all share-based payments made to employees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share-based payment at the date of grant. Up until April 2021,the estimated fair value of share-based payments granted to the Company’s employees was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11 “Stockholders’ Equity”). The share-based payments granted or modified prior to April 2021 to employees of the Company do not have quoted market prices, and changes in subjective input assumptions can materially affect the fair value estimate. Since April 2021, the Company has estimated the fair value of the options granted to Company’s employees and contractors using the Black-Scholes option-pricing model. Option valuation models require several inputs, such as the expected stock price volatility, the fair value of the stock, the risk free rate, the expected term of the award and the dividend yield. The Company records share-based compensation forfeitures as a reversal of previously recognized compensation expense as the forfeitures occur. For additional details refer to Note 11 “Stockholder Equity.”</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issued certain performance stock units ("PSUs") during the second quarter of 2023. The awards will vest based on the satisfaction of certain service conditions, performance-based conditions, and/or market conditions. The Company has identified certain performance metrics associated with some of these awards and certain targets will be fully established at a future date. For the awards with performance-based conditions where the target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over the requisite service period based on the estimated fair value at each reporting date. For the awards that are solely based on employment and the achievement of certain market performance metric targets, which have already been determined, the fair value of the PSUs are determined using a Monte Carlo valuation model as of the grant date and recognize stock-based compensation on a straight-line basis over the requisite service period.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calculated by dividing the net income (loss) attributable to common stockholders by the weighted-average number of shares of common stock outstanding for the period.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treasury stock method is used to consider the effect of the potentially dilutive stock options. Diluted net income (loss) attributable to common stockholders is computed by adjusting (loss) income attributable to common stockholders to allocate undistributed earnings based on the potential impact of dilutive securities, including outstanding stock options. Diluted net income (loss) per share attributable to common stockholders is computed by dividing the diluted net income (loss) attributable to common stockholders by the weighted average number of common shares outstanding for the period, including common stock equivalents. In periods when the Company has incurred a net loss, options to purchase common stock are considered common stock equivalents but have been excluded from the calculation of diluted net loss per share attributable to common stockholders as their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Pending Adoption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No.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xml:space="preserve">. The amendments require disclosure of incremental segment information on an annual and interim basis. The amendments also require companies with a single reportable segment to provide all disclosures required by this amendment and all existing segment disclosures in Accounting Standards Codification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amendments are effective for fiscal years beginning after December 15, 2023, and interim periods beginning after December 15, 2024. The Company does not expect the adoption of the amendments to have a significant impact on its financial statements.</w:t>
      </w:r>
    </w:p>
    <w:p>
      <w:pPr>
        <w:spacing w:after="0" w:line="6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The amendments require (i) enhanced disclosures in connection with an entity's effective tax rate reconciliation and (ii)</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paid disaggregated by jurisdiction. The amendments are effective for annual periods beginning after December 15, 2024. The Company does not expect the adoption of the amendments to have a significant impact on its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source: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6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FFS-patient care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869,165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772,482</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FFS-administrative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68,805</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Capitated revenue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savings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83,016</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 management fees (PMPM)</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1,657,737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1,356,660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966,220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Fee-for-service (“FFS”) patient care is primarily generated from third-party payers with which the Company has established contractual billing arrangements. The following table presents the approximate percentages by source of net revenue received for healthcare services the Company provided for the periods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4260" w:type="dxa"/>
            <w:vAlign w:val="bottom"/>
            <w:gridSpan w:val="5"/>
          </w:tcPr>
          <w:p>
            <w:pPr>
              <w:ind w:left="1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2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insurers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payers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556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5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FFS-administrative services revenue is earned through the Company’s MSA with Non-Owned Medical Groups primarily based on a fixed percentage of net collections on patient care generated by those medical groups.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VBC revenue is primarily earned through contracts for Capitated revenue, Shared savings and Care management fees. Capitated revenue is generated through what is typically known as an “at-risk contract.” At-risk capitation refers to a model in which the Company receives a fixed monthly payment from the third-party payer in exchange for providing healthcare services to attributed beneficiaries. The Company is responsible for providing or paying for the cost of healthcare services required by those attributed beneficiaries for a set of services. At-risk Capitated revenue is recorded at the total amount gross in revenues because the Company is acting as a principal in arranging for, providing, and controlling the managed healthcare services provided to the attributed lives. Shared savings revenue and Care management fees are generated through contracts with large commercial payer organizations and the U.S. Federal Government.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contract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for contracts with customers</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value of the remaining performance obligations at the end of the reporting period or when the Company expects to recognize revenue. The Company has minimal unsatisfied performance obligations at the end of the reporting period as the Company’s patients typically are under no obligation to continue receiving services at the Company’s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February 2023, the Company entered into the Connecticut market through the acquisition of Privia Quality Network Connecticut (“PQN-CT”), whereby Privia acquired a 51% ownership interest in PQN-CT. The acquisition was accounted for using the acquisition method pursuant to the requirements of ASC 805. The results of operations of the acquisition have been included in the Company’s consolidated financial statements since the date of acquisition.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August 2023, the Company launched Washington Friendly Medical Group, a physician-owned Medical Group, with Washington Nominee PC, an entity entirely owned by a Nominee Physician, owning majority membership interest and having</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governance and control rights via the governing documents of Washington Friendly Medical Group. The Company has a contractual relationship with the Washington Nominee PC and its Nominee Physician owner through a Restriction Agreement. Washington Nominee PC owns 51% interest in Washington Friendly Medical Group. The results of operations of the acquisition have been included in the Company’s consolidated financial statements since the date of acquisition.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October 2023, the Company acquired Privia Medical Group South Carolina, LLC, (“PMG SC”). PMG SC is a physician-owned Medical Group, with PMG South Carolina Holdings, PLLC (“Friendly SC PC”), a South Carolina professional limited liability company entirely owned by a licensed physician with a leadership role in the Company, owning majority membership interests and having governance and control rights via the governing documents of PMG SC. The Company has a contractual relationship with Friendly SC PC through a Restriction Agreement. PMG SC owns 51% interest in Friendly SC PC. The results of operations of the acquisition have been included in the Company’s consolidated financial statements since the date of acquisition.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acquisitions noted above was allocated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 Acquisitions for the Year</w:t>
            </w:r>
          </w:p>
        </w:tc>
        <w:tc>
          <w:tcPr>
            <w:tcW w:w="180" w:type="dxa"/>
            <w:vAlign w:val="bottom"/>
          </w:tcPr>
          <w:p>
            <w:pPr>
              <w:spacing w:after="0"/>
              <w:rPr>
                <w:sz w:val="15"/>
                <w:szCs w:val="15"/>
                <w:color w:val="auto"/>
              </w:rPr>
            </w:pPr>
          </w:p>
        </w:tc>
        <w:tc>
          <w:tcPr>
            <w:tcW w:w="21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 Acquisitions for the Year</w:t>
            </w:r>
          </w:p>
        </w:tc>
      </w:tr>
      <w:tr>
        <w:trPr>
          <w:trHeight w:val="204"/>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7"/>
                <w:szCs w:val="17"/>
                <w:color w:val="auto"/>
              </w:rPr>
            </w:pPr>
          </w:p>
        </w:tc>
        <w:tc>
          <w:tcPr>
            <w:tcW w:w="21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Ended December 31, 2023</w:t>
            </w:r>
          </w:p>
        </w:tc>
        <w:tc>
          <w:tcPr>
            <w:tcW w:w="180" w:type="dxa"/>
            <w:vAlign w:val="bottom"/>
          </w:tcPr>
          <w:p>
            <w:pPr>
              <w:spacing w:after="0"/>
              <w:rPr>
                <w:sz w:val="17"/>
                <w:szCs w:val="17"/>
                <w:color w:val="auto"/>
              </w:rPr>
            </w:pPr>
          </w:p>
        </w:tc>
        <w:tc>
          <w:tcPr>
            <w:tcW w:w="21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Ended December 31, 2021</w:t>
            </w:r>
          </w:p>
        </w:tc>
      </w:tr>
      <w:tr>
        <w:trPr>
          <w:trHeight w:val="23"/>
        </w:trPr>
        <w:tc>
          <w:tcPr>
            <w:tcW w:w="6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net of cash acquired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32,228</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payables</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lease receivable, prepaids, and 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current liabilities assumed</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contract and physician network intangibles</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55,603</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 agreement intangible</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51,800</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8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(28,824)</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acquired net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35,170</w:t>
            </w: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goodwill relating to these acquisitions is not deductible for tax purposes and is primarily attributable to synergies related to the assembled workforce. Goodwill is measured as the excess of the consideration transferred over the fair value of assets acquired and liabilities assumed on the acquisition date. For the 2023 transactions related to Washington and South Carolina, the Company is in the process of completing its formal valuation analysis to identify and determine the fair value of tangible and identifiable intangible assets acquired and the liabilities assumed. Thus, the final allocation of the purchase price may differ from the preliminary estimates used at December 31, 2023 based on additional information obtained and completion of the valuation of the identifiable intangible assets. The Company does not expect any adjustments, if necessary, to be material.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purposes of the goodwill impairment assessment, the Company as a whole is considered to be the reporting unit. The Company recognizes the excess of the purchase price, plus the fair value of any non-controlling interests in the acquiree, over the fair value of identifiable net assets acquired as goodwill.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Company’s carrying value of goodwill at December 31, 2023 and 2022 is $138.7 million and $126.9 million, respectively. No indicators of impairment were identified during the years ended December 31, 2023, 2022, and 2021.</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Privia entered into three new markets resulting in the recording of goodwill. During February 2023, the Company entered into the Connecticut market through the acquisition of Privia Quality Network Connecticut (“PQN-CT”), whereby Privia acquired majority ownership in PQN-CT. During August 2023, the Company entered into the Washington market through the launch of Washington Friendly Medical Group in affiliation with Walla Walla Clinic, a multi-specialty group practice with more than 50 providers and 3 care center locations. During October 2023, the Company entered into the South Carolina market through the acquisition of Privia Medical Group South Carolina, LLC (“PMG SC”), whereby Privia acquired majority ownership in PMG SC. During the year ended December 31, 2023, the Company recorded Goodwill of $11.8 million in connection with PQN-CT, Washington Friendly Medical Group and PMG SC, which represents the excess of the purchase price over the fair value of the net assets acquired.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intangible assets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238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4"/>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7"/>
                <w:szCs w:val="17"/>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3"/>
        </w:trPr>
        <w:tc>
          <w:tcPr>
            <w:tcW w:w="5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customer relationships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 Agreement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Physician network</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contracts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MSO Service Agreement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weighted average life of all amortizable intangible assets is approximately 18.3 years at December 31, 2023.</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$5.4 million for the year ended December 31, 2023, $3.4 million for the year ended December 31, 2022 and $1.3 million for the year ended December 31, 2021,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the Company’s intangible assets for the following five years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office space under various operating lease agreements. The initial terms of these leases range from 2 to 9 years and generally provide for periodic rent increases and renewal options.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6"/>
                <w:szCs w:val="16"/>
                <w:color w:val="auto"/>
              </w:rPr>
            </w:pPr>
          </w:p>
        </w:tc>
        <w:tc>
          <w:tcPr>
            <w:tcW w:w="378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37"/>
        </w:trPr>
        <w:tc>
          <w:tcPr>
            <w:tcW w:w="69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96"/>
        </w:trPr>
        <w:tc>
          <w:tcPr>
            <w:tcW w:w="69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2,669</w:t>
            </w:r>
          </w:p>
        </w:tc>
      </w:tr>
      <w:tr>
        <w:trPr>
          <w:trHeight w:val="270"/>
        </w:trPr>
        <w:tc>
          <w:tcPr>
            <w:tcW w:w="6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leases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3,861</w:t>
            </w:r>
          </w:p>
        </w:tc>
        <w:tc>
          <w:tcPr>
            <w:tcW w:w="8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2,971</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5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3.8 Years</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Years</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56"/>
        </w:trPr>
        <w:tc>
          <w:tcPr>
            <w:tcW w:w="6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ROU assets recognized in exchange for new lease liabilities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future lease payments for operating leases in the years subsequent to December 31, 2023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property and equipment, net is as follows: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24"/>
                <w:szCs w:val="24"/>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19"/>
                <w:szCs w:val="19"/>
                <w:color w:val="auto"/>
              </w:rPr>
            </w:pPr>
          </w:p>
        </w:tc>
        <w:tc>
          <w:tcPr>
            <w:tcW w:w="154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rPr>
              <w:t>4,939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8,027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center"/>
              <w:ind w:left="892"/>
              <w:spacing w:after="0"/>
              <w:rPr>
                <w:sz w:val="20"/>
                <w:szCs w:val="20"/>
                <w:color w:val="auto"/>
              </w:rPr>
            </w:pPr>
            <w:r>
              <w:rPr>
                <w:rFonts w:ascii="Times New Roman" w:cs="Times New Roman" w:eastAsia="Times New Roman" w:hAnsi="Times New Roman"/>
                <w:sz w:val="18"/>
                <w:szCs w:val="18"/>
                <w:color w:val="auto"/>
                <w:w w:val="98"/>
              </w:rPr>
              <w:t>(5,702)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tcPr>
          <w:p>
            <w:pPr>
              <w:jc w:val="center"/>
              <w:ind w:left="912"/>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for property and equipment assets was approximately $1.2 million for the years ended December 31, 2023,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Account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Bonuses payable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24,726</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Provider Liability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Provider liability, previously referred to as “Physician and Practice liability”, represents costs payable to physicians, hospitals and other ancillary providers, including both Privia physicians, their related physician practices, and providers the Company has contracted with through payer partners. Those costs include amounts that have not yet been paid for physician guaranteed payments and other required distributions pursuant to the service agreements as well as medical claims costs for services provided to attributed beneficiaries for which the Company is financially responsible under at-risk Capitated revenue arrangements whether paid directly by the Company or indirectly by payers with whom the Company has contracted. Provider expenses are recognized in the period in which services are provided and include estimates of claims that have been incurred but have either not yet been received, processed, or paid and as such, not reported.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Provider liability estimates are developed using actuarial methods commonly used by health insurance actuaries that include a number of factors and assumptions including medical service utilization trends, changes in membership, observed medical cost trends, historical claim payment patterns and other factors.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period, the Company re-examines previously established provider liability estimates based on actual claim submissions and other changes in facts and circumstances. As more complete claims information becomes available, the Company adjusts its estimates and recognizes those changes in estimates in the period in which the change is identified. The difference between the estimated liability and the actual settlements of claims is recognized in the period in which the claims are settled. The Company’s physician and practice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liability balance represents management’s best estimate of its liability for unpaid Provider expenses as of December 31, 2023. The Company uses judgment to determine the appropriate assumptions for developing the required estimates.</w:t>
      </w:r>
    </w:p>
    <w:p>
      <w:pPr>
        <w:spacing w:after="0" w:line="54"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The Company’s liabilities for unpaid medical claims under at-risk capitation arrangements, which are included in Provider liability in the Company’s consolidated balance sheets, were as follows:</w:t>
      </w:r>
    </w:p>
    <w:tbl>
      <w:tblPr>
        <w:tblLayout w:type="fixed"/>
        <w:tblInd w:w="0" w:type="dxa"/>
        <w:tblCellMar>
          <w:top w:w="0" w:type="dxa"/>
          <w:left w:w="0" w:type="dxa"/>
          <w:bottom w:w="0" w:type="dxa"/>
          <w:right w:w="0" w:type="dxa"/>
        </w:tblCellMar>
      </w:tblPr>
      <w:tr>
        <w:trPr>
          <w:trHeight w:val="190"/>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Incurred health care costs: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218,199</w:t>
            </w:r>
          </w:p>
        </w:tc>
      </w:tr>
      <w:tr>
        <w:trPr>
          <w:trHeight w:val="229"/>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 incurred</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218,199</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Claims paid:</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(189,582)</w:t>
            </w:r>
          </w:p>
        </w:tc>
      </w:tr>
      <w:tr>
        <w:trPr>
          <w:trHeight w:val="229"/>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Prior year</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claims paid</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(298,298)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(189,582)</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28,617</w:t>
            </w:r>
          </w:p>
        </w:tc>
      </w:tr>
      <w:tr>
        <w:trPr>
          <w:trHeight w:val="21"/>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15, 2019, the Company entered into a Credit Agreement (the “Original Credit Agreement”) by and among Privia Health, LLC, as the borrower, PH Group Holdings Corp. and certain subsidiaries of Privia Health, LLC, as guarantors, Silicon Valley Bank, as administrative agent and collateral agent (the “Administrative Agent”). On August 27, 2021, the Company and certain of its subsidiaries entered into an assumption agreement and third amendment (the “Third Amendment”) to the Original Credit Agreement (as amended by the Third Amendment, the “Credit Agreement”). Pursuant to the Third Amendment, the Company became the parent guarantor under the Credit Agreement and granted the Administrative Agent a first-priority security interest on substantially all of its real and personal property, subject to permitted liens.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16, 2023, the Company provided notice to terminate the Credit Agreement. As of March 16, 2023, the Company had no borrowings and no letters of credit outstanding under the Credit Agreement. The Company did not incur any early termination penalties in connection with the termination of the Credit Agreement.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16, 2023, Privia Health Group, Inc., PH Group Holdings Corp., and Privia Health, LLC, as borrower, (collectively, the “Privia Parties”) entered into a credit agreement (the “Revolving Credit Agreement”) with Wells Fargo Bank, National Association, as issuing lender, and certain other lenders, pursuant to which the Privia Parties established a $125 million five-year senior secured revolving credit facility (the “Revolving Credit Facility”). The Revolving Credit Agreement bears interest at a base rate plus applicable margin, with the base rate being the higher of the Prime Rate or the Federal Funds Rate plus 0.50%. In no event will the base rate be less than 1.0%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Credit Facility, which expires in November 2028, provides for revolving loans and the issuance of letters of credit in an aggregate amount of $125 million. On a quarterly basis, the Company pays a commitment fee on the unused Revolving Credit Facility (0.20% per annum). The proceeds of these loans and the letters of credit issued under the Revolving Credit Facility may be used for capital expenditures, expenses related to transactions and general corporate purposes.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Agreement contains customary affirmative, negative and financial covenants, and customary events of default. The occurrence of an event of default under the Revolving Credit Agreement may cause the unpaid principal and accrued interest, and all other obligations under the Revolving Credit Agreement to become immediately due and payable.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 amounts were outstanding under the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real and personal property serve as collateral under the above debt arrangements.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(benefit from) income taxes for years ending December 31, 2023, 2022 and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incomes taxes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taxes reflect the net tax effects of temporary differences between the carrying amounts of assets and liabilities for financial reporting purposes and the amounts used for income tax purposes. Deferred tax assets and deferred tax liabilities as of December 31, 2023 and 2022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22,808</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accruals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tax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51,865</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51,865</w:t>
            </w:r>
          </w:p>
        </w:tc>
      </w:tr>
      <w:tr>
        <w:trPr>
          <w:trHeight w:val="236"/>
        </w:trPr>
        <w:tc>
          <w:tcPr>
            <w:tcW w:w="7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r>
      <w:tr>
        <w:trPr>
          <w:trHeight w:val="229"/>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3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40,368</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completed an assessment of the likelihood of realizing all or some portion of its net deferred tax assets. Based on an analysis of the positive and negative evidence, the Company determined it was more likely than not that the Company will be in a position to realize the benefits of the deferred tax asset as a result of consistent profitability excluding non-recurring stock compensation charges in connection with the Company's IPO. As such, no valuation allowance was recorded in either year. As of December 31, 2023, the Company has generated federal and state net operating loss carryforwards of approximately $89.0 million and $63.7 million (post-apportioned state NOL) respectively, that begin to expire in 2034.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income tax computed at the U.S. federal statutory income tax rate to the benefit from income taxes: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color w:val="auto"/>
              </w:rPr>
              <w:t>Tax provision (benefit) computed at Federal statutory income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rate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5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2"/>
                <w:szCs w:val="22"/>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expense, net of Federal benefit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2"/>
                <w:szCs w:val="22"/>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2"/>
                <w:szCs w:val="22"/>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stock compensation impacting the income tax provision are primarily attributable to stock-based compensation expense that is not deductible under Section 162(m) offset by tax deductible stock based compensation.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2021, and 2020 federal and state income tax returns are within the statute of limitations (“SOL”) and are currently not under examination by any federal or state tax authority.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the tax position meeting the more-likely-than-not threshold, the tax amount recognized in the financial statements is reduced by the largest benefit that has a greater than 50% likelihood of being realized upon the ultimate settlement with the relevant taxing authority. As of December 31, 2023, 2022, and 2021, the Company had not recorded any reserves for uncertain tax positions or related interest and penalties.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Novant Health Private Placement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2023, the Company entered into a strategic alignment agreement (the “Equity Alignment Agreement”) with ChoiceHealth, Inc. (“Novant Sub”), a subsidiary of Novant Health, Inc. (“Novant Health”), in connection with the strategic partnership between the Company and Novant Health entered into in November 2022 to launch Privia Medical Group — North Carolina.</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Equity Alignment Agreement, Novant Sub will be entitled to receive, and the Company agreed to issue, shares of the Company’s common stock, par value $0.01 per share (the “Common Stock”), to Novant Sub any time each of the following events occurs, in the following amounts:</w:t>
      </w:r>
    </w:p>
    <w:p>
      <w:pPr>
        <w:spacing w:after="0" w:line="54" w:lineRule="exact"/>
        <w:rPr>
          <w:sz w:val="20"/>
          <w:szCs w:val="20"/>
          <w:color w:val="auto"/>
        </w:rPr>
      </w:pPr>
    </w:p>
    <w:p>
      <w:pPr>
        <w:ind w:left="660" w:right="2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745,712 shares of Common Stock to Novant Sub each time Privia Medical Group — North Carolina implements 1,000 providers in specified markets in North Carolina.</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372,856 shares of Common Stock to Novant Sub each time the Company and Novant Health enter a new state pursuant to a mutually agreed business plan developed for such state.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745,712 shares of Common Stock to Novant Sub each time the partnership between the Company and Novant Health for each new state implements 1,000 providers in specified core markets in such state.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Equity Alignment Agreement will renew every four years, subject to the delivery of a third-party valuation opinion. The renewal will be required to use the same issuance triggers, but the number of shares may be adjusted to be consistent with the valuation opinion. The number of shares of Common Stock issuable to Novant Sub under the Equity Alignment Agreement and all renewals of the Equity Alignment Agreement will be subject to a total cap equal to 19.9% of the total number of shares of Common Stock outstanding as of the effective date of the Equity Alignment Agreement and as of the effective date of all renewals, whichever is lowest.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 Group Holdings Corp Stock Option Plan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 Group Holdings Corp. Stock Option Plan (the PH Group Option Plan) was created on January 17, 2014. The employees of the Company and its subsidiaries, consultants of the Company and the employees of Brighton Health Plan Services Holdings Corp. (BHPS) (a wholly-owned subsidiary of BHG Holdings) and its subsidiaries who have performed services for the Company were the participants of the PH Group Option Plan. The aggregate number of shares of common stock for which options may be granted under the PH Group Option Plan shall not exceed 4,229,850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August 11, 2016, the PH Group Option Plan was transferred to its parent and became the PH Group Parent Corp. Stock Option Plan (the “PH Parent Option Plan” or “Prior Plan”). All other terms in the PH Group Option Plan remained unchanged in the PH Parent Option Plan at the effective date of the transfer.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August 28, 2018, the PH Parent Option Plan was amended and restated to increase the aggregate number of shares of common stock for which options may be granted from 4,229,850 shares to 18,985,846 shares.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2021, contingent on the consummation of the IPO, the Board of Directors approved a modification to the PH Group Parent Corp. Stock Option Plan of the vesting conditions of certain outstanding stock option grants to certain employees and consultants. The modification accelerated by one year any time vested options that were not previously 100% vested and modified the vesting condition of the performance based options to vest 60% at IPO, 20% 12 months after IPO and 20% 18 months after the IPO. The modification also accelerated the CEO’s time based options by an additional four months such that 100% of his time based options are vested. We recognized stock-based compensation of $195.1 million in the second quarter of 2021 related to these modifications.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6, 2021, the Company approved the Privia Health Group, Inc. 2021 Omnibus Incentive Plan (the “Plan”) which permits awards up to 10,278,581 shares of the Company’s common stock. The Plan also provides for an automatic increase on the first day of each fiscal year following the effective date of the Plan by an amount equal to the lesser of (i) 5% of outstanding shares on December 31 of the immediately preceding fiscal year or (ii) such number of shares as determined by the Company’s Compensation Committee in its discretion. The Plan provides for the granting of stock options at a price equal to at least 100% of the fair market value of the Company’s common stock as of the date of grant. The Plan also provides for the granting of Stock Appreciation Rights, Restricted Stock, Restricted Stock Units (“RSUs”), Performance Awards and other cash-based or other stock-based awards, all which must be granted at not less than the fair market value of the Company’s common stock as of the date of grant. Participants in the Plan may include employees, consultants, other service providers and non-employee directors. On the effective date of the IPO, the Company issued 1,183,871 restricted stock units at the offering price and 3,683,217 options, with an exercise price equal to the offering price. These issuances are expected to generate stock-based compensation expense of $62.3 million to be recognized over the next four years starting on the effective date of the IPO as both the restricted stock units and stock options vest. The 2021 Plan is intended as the successor to and continuation of the PH Parent Option Plan. No additional stock awards will be granted under the PH Parent Option Plan.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2021, the Company’s Board of Directors approved the Company’s 2021 Employee Stock Purchase Plan (“2021 ESPP”). The 2021 ESPP became effective upon the execution of the underwriting agreement for the Company’s IPO in April 2021. Per the 2021 ESPP, shares may be newly issued shares, treasury shares or shares acquired on the open market. The Compensation Committee may elect to increase the total number of Shares available for purchase under the 2021 ESPP as of the first day of each Company fiscal year following the effective date of the 2021 ESPP in an amount equal to up to one percent (1%) of the shares issued and outstanding on the immediately preceding December 31; provided that the maximum number of shares that may be issued under the Plan in any event shall be 10,278,581 shares. As of the IPO, the Company has reserved 1,027,858 shares of common stock for issuance under the 2021 ESPP. As of December 31, 2023, no shares have been issued under this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Options granted under the Plan, Privia used a Black-Scholes option pricing model to determine the fair value. Option valuation models require several inputs, such as the expected stock price volatility, the fair value of the stock, the risk free rate, the expected term of the award and the dividend yield. Below outlines the assumptions used in the Black-Scholes modeling and calculation of the option fair value.</w:t>
      </w:r>
    </w:p>
    <w:p>
      <w:pPr>
        <w:spacing w:after="0" w:line="203" w:lineRule="exact"/>
        <w:rPr>
          <w:sz w:val="20"/>
          <w:szCs w:val="20"/>
          <w:color w:val="auto"/>
        </w:rPr>
      </w:pPr>
    </w:p>
    <w:p>
      <w:pPr>
        <w:jc w:val="both"/>
        <w:ind w:left="6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The Company determines volatility based on the historical stock volatilities of a group of publicly listed guideline companies over a period equal to the expected terms of the options, as the Company does not have sufficient trading history to determine the volatility of the Company’s common stock.</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 Prior to the IPO in April 2021, the Company estimated the fair value of the Company’s common stock using various valuation methodologies, including valuation analyses performed by third-party valuation firms. After the IPO, the Company used the publicly quoted price as the fair value of the Company’s common stock.</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Company bases the risk-free interest rate used in the Black-Scholes option-pricing model on the implied yield available on U.S. Treasury zero-coupon issues with an equivalent expected term of the options for each option group.</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represents the period that the Company’s stock-based awards are expected to be outstanding. The expected term assumption is based on the simplified method in which the expected term is equal to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average of the stock-based award’s weighted-average vesting period and its contractual term. The Company expects to continue using the simplified method until sufficient information about historical behavior is available.</w:t>
      </w:r>
    </w:p>
    <w:p>
      <w:pPr>
        <w:spacing w:after="0" w:line="189" w:lineRule="exact"/>
        <w:rPr>
          <w:sz w:val="20"/>
          <w:szCs w:val="20"/>
          <w:color w:val="auto"/>
        </w:rPr>
      </w:pPr>
    </w:p>
    <w:p>
      <w:pPr>
        <w:ind w:left="6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The Company has not declared or paid any cash dividend and does not currently plan to pay a cash dividend in the foreseeable future. Consequently, the Company used an expected dividend yield of zero.</w:t>
      </w:r>
    </w:p>
    <w:p>
      <w:pPr>
        <w:spacing w:after="0" w:line="29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 grants using a Black-Scholes option pricing model with the following assumptions presented on a weighted-average basis (no stock options granted for the year ended December 31,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40" w:type="dxa"/>
            <w:vAlign w:val="bottom"/>
            <w:gridSpan w:val="5"/>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54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5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7"/>
              </w:rPr>
              <w:t>6.25 Years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719"/>
              <w:spacing w:after="0"/>
              <w:rPr>
                <w:sz w:val="20"/>
                <w:szCs w:val="20"/>
                <w:color w:val="auto"/>
              </w:rPr>
            </w:pPr>
            <w:r>
              <w:rPr>
                <w:rFonts w:ascii="Times New Roman" w:cs="Times New Roman" w:eastAsia="Times New Roman" w:hAnsi="Times New Roman"/>
                <w:sz w:val="18"/>
                <w:szCs w:val="18"/>
                <w:color w:val="auto"/>
                <w:w w:val="98"/>
              </w:rPr>
              <w:t>44.0%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jc w:val="center"/>
              <w:ind w:left="719"/>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left="5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418"/>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PH Parent Option Plan and Plan:</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9"/>
        </w:trPr>
        <w:tc>
          <w:tcPr>
            <w:tcW w:w="5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5"/>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76"/>
        </w:trPr>
        <w:tc>
          <w:tcPr>
            <w:tcW w:w="5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5"/>
                <w:szCs w:val="15"/>
                <w:color w:val="auto"/>
              </w:rPr>
            </w:pPr>
          </w:p>
        </w:tc>
        <w:tc>
          <w:tcPr>
            <w:tcW w:w="12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54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6"/>
                <w:szCs w:val="16"/>
                <w:color w:val="auto"/>
              </w:rPr>
            </w:pPr>
          </w:p>
        </w:tc>
        <w:tc>
          <w:tcPr>
            <w:tcW w:w="120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6"/>
                <w:szCs w:val="16"/>
                <w:color w:val="auto"/>
              </w:rPr>
            </w:pPr>
          </w:p>
        </w:tc>
        <w:tc>
          <w:tcPr>
            <w:tcW w:w="12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4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18,300,959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19,916,202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398,117</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(6,675,810)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(157,464)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13,176,721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197,695</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9,820,754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138,028</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7,610,203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137,529</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under the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37"/>
        </w:trPr>
        <w:tc>
          <w:tcPr>
            <w:tcW w:w="74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(195,652)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(18,762)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1,679,107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(84,044)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2,404,664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(425,076)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2,947,102</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PSU Activity</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5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following table summarizes the PSU activity under the Plan:</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37"/>
        </w:trPr>
        <w:tc>
          <w:tcPr>
            <w:tcW w:w="74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January 1, 2023</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781,132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43"/>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at December 31,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776,029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8"/>
        <w:spacing w:after="0" w:line="261" w:lineRule="auto"/>
        <w:tabs>
          <w:tab w:leader="none" w:pos="23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twelve months ended December 31, 2023, Privia awarded RSUs in the form of PSUs to certain executive officers, market leaders and employees which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over the requisite service period based on the fair value at each reporting date.</w:t>
      </w:r>
    </w:p>
    <w:p>
      <w:pPr>
        <w:spacing w:after="0" w:line="184" w:lineRule="exact"/>
        <w:rPr>
          <w:rFonts w:ascii="Times New Roman" w:cs="Times New Roman" w:eastAsia="Times New Roman" w:hAnsi="Times New Roman"/>
          <w:sz w:val="16"/>
          <w:szCs w:val="16"/>
          <w:color w:val="auto"/>
        </w:rPr>
      </w:pPr>
    </w:p>
    <w:p>
      <w:pPr>
        <w:jc w:val="both"/>
        <w:ind w:firstLine="8"/>
        <w:spacing w:after="0" w:line="267" w:lineRule="auto"/>
        <w:tabs>
          <w:tab w:leader="none" w:pos="238"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twelve months ended December 31, 2023, Privia awarded RSUs in the form of PSUs which vest after four years, subject to continued employment and the achievement of certain market performance metric targets. The fair value of the PSUs are determined using a Monte Carlo valuation model as of the grant date and the stock-based compensation is recognized on a straight-line basis over the requisite service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stock-based compensation expense was approximately $37.1 million, $67.4 million and $253.5 million for the years ended December 31, 2023, 2022, 2021 respectively. A tax benefit of approximately $2.4 million and $11.2 million for the years ended December 31, 2023 and 2022, respectively, was included in the Company’s net operating loss carry-forward that could potentially reduce future tax liabilities. At December 31, 2023, there was approximately $79.4 million of unrecognized stock-based compensation expense related to unvested options, RSUs and PSUs, net of forfeitures, that is expected to be recognized over a weighted-average period of 1.2 years. As of December 31, 2023, the total intrinsic value of options exercised and the total fair value of shares vested for the 2023 period was approximately $74.7 million and $14.6 million,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as follows:</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platform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33655</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43,888</w:t>
            </w:r>
          </w:p>
        </w:tc>
      </w:tr>
      <w:tr>
        <w:trPr>
          <w:trHeight w:val="229"/>
        </w:trPr>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34"/>
        </w:trPr>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200,699</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67,359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253,531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-479425</wp:posOffset>
            </wp:positionV>
            <wp:extent cx="71323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-187960</wp:posOffset>
            </wp:positionV>
            <wp:extent cx="71323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6180" w:space="720"/>
            <w:col w:w="434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voluntary 401(k) savings plan that provides a 3.0% safe harbor contribution to all employees. In addition, a minimum profit-sharing contribution is required to satisfy year end plan testing. The profit-sharing contribution was approximately 1.4% in 2023, 2022 and 2021. The Company made contributions of approximately $4.7 million, $4.1 million and $2.3 million for the</w:t>
      </w:r>
    </w:p>
    <w:p>
      <w:pPr>
        <w:sectPr>
          <w:pgSz w:w="11900" w:h="16838" w:orient="portrait"/>
          <w:cols w:equalWidth="0" w:num="1">
            <w:col w:w="11240"/>
          </w:cols>
          <w:pgMar w:left="320" w:top="121"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years ended December 31, 2023, 2022 and 2021, respectively, recorded within cost of platform, sales and marketing and general and administrative expenses in the accompanying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 2022, the Company announced a joint venture and strategic partnership with Novant Health Enterprises, a division of Novant Health, to launch Privia Medical Group – North Carolina for independent providers throughout North Carolina. A member of our board of directors is a member of the board of trustees of Novant Health. No revenue or expense was recognized related to Novant Health for the years ended December 31, 2023 and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commitments and contingencies as of December 31, 2023 and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potentially subject to concentrations of credit risk consist primarily of cash, cash equivalents, and accounts receivable. While the Company’s cash and cash equivalents are managed by reputable financial institutions, the Company’s cash balances with the individual institutions may at times exceed the federally insured limits. At December 31, 2023, substantially all of the Company’s cash and cash equivalents were held at two financial institutions.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revenue concentrations with respect to major payers as a percentage of the Company’s total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560" w:type="dxa"/>
            <w:vAlign w:val="bottom"/>
            <w:gridSpan w:val="5"/>
          </w:tcPr>
          <w:p>
            <w:pPr>
              <w:ind w:left="1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23"/>
        </w:trPr>
        <w:tc>
          <w:tcPr>
            <w:tcW w:w="66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A</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B</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C</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major payers as a percentage of receivables,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1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A</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Payer B</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Payer 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(loss) available to common shareholders and the number of shares in the calculation of basic and diluted earnings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per share was calculated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amounts)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Privia Health Group, Inc. common stockholders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116,731,406</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110,695,266</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line="176" w:lineRule="exact"/>
              <w:rPr>
                <w:sz w:val="20"/>
                <w:szCs w:val="20"/>
                <w:color w:val="auto"/>
              </w:rPr>
            </w:pPr>
            <w:r>
              <w:rPr>
                <w:rFonts w:ascii="Times New Roman" w:cs="Times New Roman" w:eastAsia="Times New Roman" w:hAnsi="Times New Roman"/>
                <w:sz w:val="18"/>
                <w:szCs w:val="18"/>
                <w:color w:val="auto"/>
              </w:rPr>
              <w:t>102,952,370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Weighted average common share outstanding - diluted</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124,686,067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110,695,266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102,952,370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Privia Health Group, Inc. common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1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 basic</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Earnings (loss) per share attributable to Privia Health Group, Inc. common</w:t>
            </w: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treasury stock method is used to consider the effect of the potentially dilutive stock options. The following weighted-average outstanding shares of potentially dilutive securities were excluded from computation of diluted loss per share attributable to common shareholders for the period presented because including them would have been antidilutive: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800" w:type="dxa"/>
            <w:vAlign w:val="bottom"/>
            <w:gridSpan w:val="5"/>
          </w:tcPr>
          <w:p>
            <w:pPr>
              <w:ind w:left="1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Potentially dilutive stock options to purchase common stock, RSUs and PSUs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5,589,224</w:t>
            </w:r>
          </w:p>
        </w:tc>
        <w:tc>
          <w:tcPr>
            <w:tcW w:w="8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15,581,385</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20,901,103</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5,589,224</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15,581,385</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20,901,103</w:t>
            </w:r>
          </w:p>
        </w:tc>
      </w:tr>
      <w:tr>
        <w:trPr>
          <w:trHeight w:val="21"/>
        </w:trPr>
        <w:tc>
          <w:tcPr>
            <w:tcW w:w="6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Financial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in accordance with ASC Topic 280, Segment Reporting (“ASC 280”), that the Company operates in and reports as a single operating segment, which is to care for its patients’ needs. Operating segments are identified as components of an enterprise where separate discrete financial information is available for evaluation by the chief operating decision maker (“CODM”), or decision-making group, who reviews financial operating results on a regular basis for the purpose of allocating resources and evaluating financial performance.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its CODM as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operations on a consolidated basis to make decisions about overall corporate resource allocation and to assess overall corporate profitability. As of December 31, 2023 and 2022, all of the Company’s long-lived assets were located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252525"/>
        </w:rPr>
        <w:t>Executive Employment Agreement</w:t>
      </w:r>
    </w:p>
    <w:p>
      <w:pPr>
        <w:spacing w:after="0" w:line="216" w:lineRule="exact"/>
        <w:rPr>
          <w:sz w:val="20"/>
          <w:szCs w:val="20"/>
          <w:color w:val="auto"/>
        </w:rPr>
      </w:pPr>
    </w:p>
    <w:p>
      <w:pPr>
        <w:ind w:left="40" w:right="100" w:firstLine="647"/>
        <w:spacing w:after="0" w:line="245" w:lineRule="auto"/>
        <w:rPr>
          <w:sz w:val="20"/>
          <w:szCs w:val="20"/>
          <w:color w:val="auto"/>
        </w:rPr>
      </w:pPr>
      <w:r>
        <w:rPr>
          <w:rFonts w:ascii="Times New Roman" w:cs="Times New Roman" w:eastAsia="Times New Roman" w:hAnsi="Times New Roman"/>
          <w:sz w:val="20"/>
          <w:szCs w:val="20"/>
          <w:color w:val="auto"/>
        </w:rPr>
        <w:t>This Executive Employment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entered into as of the 25th day of January, 2024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Privia Health, LLC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Edward C. Fargis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together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252525"/>
        </w:rPr>
        <w:t>Recitals</w:t>
      </w:r>
    </w:p>
    <w:p>
      <w:pPr>
        <w:spacing w:after="0" w:line="233" w:lineRule="exact"/>
        <w:rPr>
          <w:sz w:val="20"/>
          <w:szCs w:val="20"/>
          <w:color w:val="auto"/>
        </w:rPr>
      </w:pPr>
    </w:p>
    <w:p>
      <w:pPr>
        <w:ind w:left="40" w:right="120" w:firstLine="647"/>
        <w:spacing w:after="0" w:line="311" w:lineRule="auto"/>
        <w:rPr>
          <w:sz w:val="20"/>
          <w:szCs w:val="20"/>
          <w:color w:val="auto"/>
        </w:rPr>
      </w:pPr>
      <w:r>
        <w:rPr>
          <w:rFonts w:ascii="Times New Roman" w:cs="Times New Roman" w:eastAsia="Times New Roman" w:hAnsi="Times New Roman"/>
          <w:sz w:val="20"/>
          <w:szCs w:val="20"/>
          <w:color w:val="252525"/>
        </w:rPr>
        <w:t xml:space="preserve">WHEREAS, Company is engaged in the business of owning, operating and providing management </w:t>
      </w:r>
      <w:r>
        <w:rPr>
          <w:rFonts w:ascii="Times New Roman" w:cs="Times New Roman" w:eastAsia="Times New Roman" w:hAnsi="Times New Roman"/>
          <w:sz w:val="20"/>
          <w:szCs w:val="20"/>
          <w:color w:val="363636"/>
        </w:rPr>
        <w:t>services</w:t>
      </w:r>
      <w:r>
        <w:rPr>
          <w:rFonts w:ascii="Times New Roman" w:cs="Times New Roman" w:eastAsia="Times New Roman" w:hAnsi="Times New Roman"/>
          <w:sz w:val="20"/>
          <w:szCs w:val="20"/>
          <w:color w:val="252525"/>
        </w:rPr>
        <w:t xml:space="preserve"> to certain accountable care organizations, physician practices, and other provider collaborative arrangements</w:t>
      </w:r>
      <w:r>
        <w:rPr>
          <w:rFonts w:ascii="Times New Roman" w:cs="Times New Roman" w:eastAsia="Times New Roman" w:hAnsi="Times New Roman"/>
          <w:sz w:val="20"/>
          <w:szCs w:val="20"/>
          <w:color w:val="48484A"/>
        </w:rPr>
        <w:t>;</w:t>
      </w:r>
    </w:p>
    <w:p>
      <w:pPr>
        <w:spacing w:after="0" w:line="227" w:lineRule="exact"/>
        <w:rPr>
          <w:sz w:val="20"/>
          <w:szCs w:val="20"/>
          <w:color w:val="auto"/>
        </w:rPr>
      </w:pPr>
    </w:p>
    <w:p>
      <w:pPr>
        <w:ind w:left="40" w:right="120" w:firstLine="647"/>
        <w:spacing w:after="0" w:line="311" w:lineRule="auto"/>
        <w:rPr>
          <w:sz w:val="20"/>
          <w:szCs w:val="20"/>
          <w:color w:val="auto"/>
        </w:rPr>
      </w:pPr>
      <w:r>
        <w:rPr>
          <w:rFonts w:ascii="Times New Roman" w:cs="Times New Roman" w:eastAsia="Times New Roman" w:hAnsi="Times New Roman"/>
          <w:sz w:val="20"/>
          <w:szCs w:val="20"/>
          <w:color w:val="252525"/>
        </w:rPr>
        <w:t>WHEREAS, Executive has experience providing leadership oversight, supervision, and executive direction to organizations such as Company;</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252525"/>
        </w:rPr>
        <w:t xml:space="preserve">WHEREAS, the Parties desire to enter into this Agreement to more fully articulate their </w:t>
      </w:r>
      <w:r>
        <w:rPr>
          <w:rFonts w:ascii="Times New Roman" w:cs="Times New Roman" w:eastAsia="Times New Roman" w:hAnsi="Times New Roman"/>
          <w:sz w:val="20"/>
          <w:szCs w:val="20"/>
          <w:color w:val="363636"/>
        </w:rPr>
        <w:t>relationship; and</w:t>
      </w:r>
    </w:p>
    <w:p>
      <w:pPr>
        <w:spacing w:after="0" w:line="324" w:lineRule="exact"/>
        <w:rPr>
          <w:sz w:val="20"/>
          <w:szCs w:val="20"/>
          <w:color w:val="auto"/>
        </w:rPr>
      </w:pPr>
    </w:p>
    <w:p>
      <w:pPr>
        <w:ind w:left="40" w:right="120" w:firstLine="647"/>
        <w:spacing w:after="0" w:line="311" w:lineRule="auto"/>
        <w:rPr>
          <w:sz w:val="20"/>
          <w:szCs w:val="20"/>
          <w:color w:val="auto"/>
        </w:rPr>
      </w:pPr>
      <w:r>
        <w:rPr>
          <w:rFonts w:ascii="Times New Roman" w:cs="Times New Roman" w:eastAsia="Times New Roman" w:hAnsi="Times New Roman"/>
          <w:sz w:val="20"/>
          <w:szCs w:val="20"/>
          <w:color w:val="363636"/>
        </w:rPr>
        <w:t>WHEREAS, the Parties desire for Executive to commence employment in his new role on January 29, 2024 (the “</w:t>
      </w:r>
      <w:r>
        <w:rPr>
          <w:rFonts w:ascii="Times New Roman" w:cs="Times New Roman" w:eastAsia="Times New Roman" w:hAnsi="Times New Roman"/>
          <w:sz w:val="20"/>
          <w:szCs w:val="20"/>
          <w:b w:val="1"/>
          <w:bCs w:val="1"/>
          <w:color w:val="363636"/>
        </w:rPr>
        <w:t>Commencement Date</w:t>
      </w:r>
      <w:r>
        <w:rPr>
          <w:rFonts w:ascii="Times New Roman" w:cs="Times New Roman" w:eastAsia="Times New Roman" w:hAnsi="Times New Roman"/>
          <w:sz w:val="20"/>
          <w:szCs w:val="20"/>
          <w:color w:val="363636"/>
        </w:rPr>
        <w:t>”)</w:t>
      </w:r>
    </w:p>
    <w:p>
      <w:pPr>
        <w:spacing w:after="0" w:line="214" w:lineRule="exact"/>
        <w:rPr>
          <w:sz w:val="20"/>
          <w:szCs w:val="20"/>
          <w:color w:val="auto"/>
        </w:rPr>
      </w:pPr>
    </w:p>
    <w:p>
      <w:pPr>
        <w:ind w:left="40" w:right="100" w:firstLine="647"/>
        <w:spacing w:after="0" w:line="311" w:lineRule="auto"/>
        <w:rPr>
          <w:sz w:val="20"/>
          <w:szCs w:val="20"/>
          <w:color w:val="auto"/>
        </w:rPr>
      </w:pPr>
      <w:r>
        <w:rPr>
          <w:rFonts w:ascii="Times New Roman" w:cs="Times New Roman" w:eastAsia="Times New Roman" w:hAnsi="Times New Roman"/>
          <w:sz w:val="20"/>
          <w:szCs w:val="20"/>
          <w:color w:val="252525"/>
        </w:rPr>
        <w:t xml:space="preserve">NOW THEREFORE, in consideration of the </w:t>
      </w:r>
      <w:r>
        <w:rPr>
          <w:rFonts w:ascii="Times New Roman" w:cs="Times New Roman" w:eastAsia="Times New Roman" w:hAnsi="Times New Roman"/>
          <w:sz w:val="20"/>
          <w:szCs w:val="20"/>
          <w:color w:val="363636"/>
        </w:rPr>
        <w:t>recitals</w:t>
      </w:r>
      <w:r>
        <w:rPr>
          <w:rFonts w:ascii="Times New Roman" w:cs="Times New Roman" w:eastAsia="Times New Roman" w:hAnsi="Times New Roman"/>
          <w:sz w:val="20"/>
          <w:szCs w:val="20"/>
          <w:color w:val="252525"/>
        </w:rPr>
        <w:t xml:space="preserve"> above, </w:t>
      </w:r>
      <w:r>
        <w:rPr>
          <w:rFonts w:ascii="Times New Roman" w:cs="Times New Roman" w:eastAsia="Times New Roman" w:hAnsi="Times New Roman"/>
          <w:sz w:val="20"/>
          <w:szCs w:val="20"/>
          <w:color w:val="363636"/>
        </w:rPr>
        <w:t>and</w:t>
      </w:r>
      <w:r>
        <w:rPr>
          <w:rFonts w:ascii="Times New Roman" w:cs="Times New Roman" w:eastAsia="Times New Roman" w:hAnsi="Times New Roman"/>
          <w:sz w:val="20"/>
          <w:szCs w:val="20"/>
          <w:color w:val="252525"/>
        </w:rPr>
        <w:t xml:space="preserve"> any other good and valuable </w:t>
      </w:r>
      <w:r>
        <w:rPr>
          <w:rFonts w:ascii="Times New Roman" w:cs="Times New Roman" w:eastAsia="Times New Roman" w:hAnsi="Times New Roman"/>
          <w:sz w:val="20"/>
          <w:szCs w:val="20"/>
          <w:color w:val="363636"/>
        </w:rPr>
        <w:t>consideration,</w:t>
      </w:r>
      <w:r>
        <w:rPr>
          <w:rFonts w:ascii="Times New Roman" w:cs="Times New Roman" w:eastAsia="Times New Roman" w:hAnsi="Times New Roman"/>
          <w:sz w:val="20"/>
          <w:szCs w:val="20"/>
          <w:color w:val="252525"/>
        </w:rPr>
        <w:t xml:space="preserve"> the receipt and sufficiency of which are acknowledged, the Parties agree as follows:</w:t>
      </w:r>
    </w:p>
    <w:p>
      <w:pPr>
        <w:spacing w:after="0" w:line="169" w:lineRule="exact"/>
        <w:rPr>
          <w:sz w:val="20"/>
          <w:szCs w:val="20"/>
          <w:color w:val="auto"/>
        </w:rPr>
      </w:pPr>
    </w:p>
    <w:p>
      <w:pPr>
        <w:ind w:left="40" w:right="100" w:hanging="4"/>
        <w:spacing w:after="0" w:line="315" w:lineRule="auto"/>
        <w:tabs>
          <w:tab w:leader="none" w:pos="5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hereby employs Executive as of the Commencement Date and Executive hereby accepts employment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as of the Commencement Date on the terms and conditions set forth herein.</w:t>
      </w:r>
    </w:p>
    <w:p>
      <w:pPr>
        <w:spacing w:after="0" w:line="192" w:lineRule="exact"/>
        <w:rPr>
          <w:rFonts w:ascii="Times New Roman" w:cs="Times New Roman" w:eastAsia="Times New Roman" w:hAnsi="Times New Roman"/>
          <w:sz w:val="20"/>
          <w:szCs w:val="20"/>
          <w:color w:val="auto"/>
        </w:rPr>
      </w:pPr>
    </w:p>
    <w:p>
      <w:pPr>
        <w:jc w:val="both"/>
        <w:ind w:left="40" w:right="100" w:hanging="4"/>
        <w:spacing w:after="0" w:line="274" w:lineRule="auto"/>
        <w:tabs>
          <w:tab w:leader="none" w:pos="5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Commencement Date, Executive shall be employed as General Counsel, on a full-time equivalency (“</w:t>
      </w:r>
      <w:r>
        <w:rPr>
          <w:rFonts w:ascii="Times New Roman" w:cs="Times New Roman" w:eastAsia="Times New Roman" w:hAnsi="Times New Roman"/>
          <w:sz w:val="20"/>
          <w:szCs w:val="20"/>
          <w:b w:val="1"/>
          <w:bCs w:val="1"/>
          <w:color w:val="auto"/>
        </w:rPr>
        <w:t>FTE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primary responsibility for (a) providing senior management with advice on strategies and their implementation, (b) managing the legal department, (c) obtaining and overseeing the work of outside counsel, and (d) supervising complex business transactions and negotiating critical contracts (collectively, the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Notwithstanding anything herein to the contrary, Executive shall be a member of Company’s senior leadership team, reporting directly to Chief Executive Officer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and shall have such duties, responsibilities, and authority of a general counsel of a comparable company operating in the United States. Executive agrees that during the performance of this Agreement, he will represent himself as an agent of Company, and will utilize Company’s email system, email addresses, letterhead, and voicemail for all correspondence with internal and external parties.</w:t>
      </w:r>
    </w:p>
    <w:p>
      <w:pPr>
        <w:spacing w:after="0" w:line="221" w:lineRule="exact"/>
        <w:rPr>
          <w:rFonts w:ascii="Times New Roman" w:cs="Times New Roman" w:eastAsia="Times New Roman" w:hAnsi="Times New Roman"/>
          <w:sz w:val="20"/>
          <w:szCs w:val="20"/>
          <w:color w:val="auto"/>
        </w:rPr>
      </w:pPr>
    </w:p>
    <w:p>
      <w:pPr>
        <w:jc w:val="both"/>
        <w:ind w:left="40" w:right="100" w:hanging="4"/>
        <w:spacing w:after="0" w:line="278" w:lineRule="auto"/>
        <w:tabs>
          <w:tab w:leader="none" w:pos="5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Level of Effort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shall perform the Services on an as needed basis as reasonably requested by Company and agreed to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Executive, with the mutual expectation that Executive shall provide Services at a level of 1.0 FTE. In the event that Executive’s duties substantially exceed or fall below this expectation, the Parties </w:t>
      </w:r>
      <w:r>
        <w:rPr>
          <w:rFonts w:ascii="Times New Roman" w:cs="Times New Roman" w:eastAsia="Times New Roman" w:hAnsi="Times New Roman"/>
          <w:sz w:val="20"/>
          <w:szCs w:val="20"/>
          <w:color w:val="252525"/>
        </w:rPr>
        <w:t>shall</w:t>
      </w:r>
      <w:r>
        <w:rPr>
          <w:rFonts w:ascii="Times New Roman" w:cs="Times New Roman" w:eastAsia="Times New Roman" w:hAnsi="Times New Roman"/>
          <w:sz w:val="20"/>
          <w:szCs w:val="20"/>
          <w:color w:val="auto"/>
        </w:rPr>
        <w:t xml:space="preserve"> meet in good faith to discuss such and develop a strategy to achieve Company’s objectives relative to Executive.</w:t>
      </w:r>
    </w:p>
    <w:p>
      <w:pPr>
        <w:spacing w:after="0" w:line="176" w:lineRule="exact"/>
        <w:rPr>
          <w:rFonts w:ascii="Times New Roman" w:cs="Times New Roman" w:eastAsia="Times New Roman" w:hAnsi="Times New Roman"/>
          <w:sz w:val="20"/>
          <w:szCs w:val="20"/>
          <w:color w:val="auto"/>
        </w:rPr>
      </w:pPr>
    </w:p>
    <w:p>
      <w:pPr>
        <w:ind w:left="1000" w:hanging="964"/>
        <w:spacing w:after="0"/>
        <w:tabs>
          <w:tab w:leader="none" w:pos="10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363636"/>
        </w:rPr>
        <w:t>Location</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b w:val="1"/>
          <w:bCs w:val="1"/>
          <w:u w:val="single" w:color="auto"/>
          <w:color w:val="252525"/>
        </w:rPr>
        <w:t>of Services</w:t>
      </w:r>
      <w:r>
        <w:rPr>
          <w:rFonts w:ascii="Times New Roman" w:cs="Times New Roman" w:eastAsia="Times New Roman" w:hAnsi="Times New Roman"/>
          <w:sz w:val="20"/>
          <w:szCs w:val="20"/>
          <w:b w:val="1"/>
          <w:bCs w:val="1"/>
          <w:color w:val="252525"/>
        </w:rPr>
        <w:t>:</w:t>
      </w:r>
      <w:r>
        <w:rPr>
          <w:rFonts w:ascii="Times New Roman" w:cs="Times New Roman" w:eastAsia="Times New Roman" w:hAnsi="Times New Roman"/>
          <w:sz w:val="20"/>
          <w:szCs w:val="20"/>
          <w:b w:val="1"/>
          <w:bCs w:val="1"/>
          <w:color w:val="363636"/>
        </w:rPr>
        <w:t xml:space="preserve"> </w:t>
      </w:r>
      <w:r>
        <w:rPr>
          <w:rFonts w:ascii="Times New Roman" w:cs="Times New Roman" w:eastAsia="Times New Roman" w:hAnsi="Times New Roman"/>
          <w:sz w:val="20"/>
          <w:szCs w:val="20"/>
          <w:color w:val="252525"/>
        </w:rPr>
        <w:t>Although the Parties understand that it will be necessary for Executive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60"/>
          </w:cols>
          <w:pgMar w:left="400" w:top="10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0" w:right="120"/>
        <w:spacing w:after="0" w:line="277" w:lineRule="auto"/>
        <w:rPr>
          <w:sz w:val="20"/>
          <w:szCs w:val="20"/>
          <w:color w:val="auto"/>
        </w:rPr>
      </w:pPr>
      <w:r>
        <w:rPr>
          <w:rFonts w:ascii="Times New Roman" w:cs="Times New Roman" w:eastAsia="Times New Roman" w:hAnsi="Times New Roman"/>
          <w:sz w:val="20"/>
          <w:szCs w:val="20"/>
          <w:color w:val="252525"/>
        </w:rPr>
        <w:t xml:space="preserve">to provide the Services in </w:t>
      </w:r>
      <w:r>
        <w:rPr>
          <w:rFonts w:ascii="Times New Roman" w:cs="Times New Roman" w:eastAsia="Times New Roman" w:hAnsi="Times New Roman"/>
          <w:sz w:val="20"/>
          <w:szCs w:val="20"/>
          <w:color w:val="363636"/>
        </w:rPr>
        <w:t>the</w:t>
      </w:r>
      <w:r>
        <w:rPr>
          <w:rFonts w:ascii="Times New Roman" w:cs="Times New Roman" w:eastAsia="Times New Roman" w:hAnsi="Times New Roman"/>
          <w:sz w:val="20"/>
          <w:szCs w:val="20"/>
          <w:color w:val="252525"/>
        </w:rPr>
        <w:t xml:space="preserve"> field, including </w:t>
      </w:r>
      <w:r>
        <w:rPr>
          <w:rFonts w:ascii="Times New Roman" w:cs="Times New Roman" w:eastAsia="Times New Roman" w:hAnsi="Times New Roman"/>
          <w:sz w:val="20"/>
          <w:szCs w:val="20"/>
          <w:color w:val="363636"/>
        </w:rPr>
        <w:t>at</w:t>
      </w:r>
      <w:r>
        <w:rPr>
          <w:rFonts w:ascii="Times New Roman" w:cs="Times New Roman" w:eastAsia="Times New Roman" w:hAnsi="Times New Roman"/>
          <w:sz w:val="20"/>
          <w:szCs w:val="20"/>
          <w:color w:val="252525"/>
        </w:rPr>
        <w:t xml:space="preserve"> care center locations, the Parties agree that Executive’s primary location of service will be at the Company’s corporate headquarters, which may change from time to time. Company will provide Executive with </w:t>
      </w:r>
      <w:r>
        <w:rPr>
          <w:rFonts w:ascii="Times New Roman" w:cs="Times New Roman" w:eastAsia="Times New Roman" w:hAnsi="Times New Roman"/>
          <w:sz w:val="20"/>
          <w:szCs w:val="20"/>
          <w:color w:val="000000"/>
        </w:rPr>
        <w:t>office space at its</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corporate headquarters, which is currently located at 950 N. Glebe Road, Suite 700, Arlington, Virginia 22203 and expects Executive to use said office at its corporate headquarters on a semi-regular basis so as to assist in Executive’s overall integration of the Company.</w:t>
      </w:r>
    </w:p>
    <w:p>
      <w:pPr>
        <w:spacing w:after="0" w:line="203" w:lineRule="exact"/>
        <w:rPr>
          <w:sz w:val="20"/>
          <w:szCs w:val="20"/>
          <w:color w:val="auto"/>
        </w:rPr>
      </w:pPr>
    </w:p>
    <w:p>
      <w:pPr>
        <w:jc w:val="both"/>
        <w:ind w:left="40" w:right="100" w:hanging="4"/>
        <w:spacing w:after="0" w:line="275" w:lineRule="auto"/>
        <w:tabs>
          <w:tab w:leader="none" w:pos="580" w:val="left"/>
        </w:tabs>
        <w:numPr>
          <w:ilvl w:val="0"/>
          <w:numId w:val="67"/>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b w:val="1"/>
          <w:bCs w:val="1"/>
          <w:u w:val="single" w:color="auto"/>
          <w:color w:val="282828"/>
        </w:rPr>
        <w:t>Term and Termination</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shall be an “at will” employee. Company may terminate this Agreement at any time without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Cause (as defined below), and Executive, upon thirty (30) days’ prior written notice, may voluntarily terminate this Agreement at any time without Good Reason (as defined below)</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In addition, this Agreement may be terminated (a) by Company immediately for Cause or (b) by Executive immediately for Good Reason. If Executive terminates his employment without Good Reason upon thirty (30) days’ prior written notice, then Company may (at its discretion) pay Executive</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s Base Salary for the thirty (30) day notice period in lieu of Executive continuing to perform Services during such notice period</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In the event Executive’s employment is terminated for any reason, Executive shall receive his Base Salary accrued through the date of termination, reimbursement of any business expenses properly incurred prior to the date of termination</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and any benefits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including continuation and conversion rights, provided upon termination of employment under Company’s employee benefit plans (collectively the “</w:t>
      </w:r>
      <w:r>
        <w:rPr>
          <w:rFonts w:ascii="Times New Roman" w:cs="Times New Roman" w:eastAsia="Times New Roman" w:hAnsi="Times New Roman"/>
          <w:sz w:val="20"/>
          <w:szCs w:val="20"/>
          <w:b w:val="1"/>
          <w:bCs w:val="1"/>
          <w:color w:val="282828"/>
        </w:rPr>
        <w:t>Accrued Obligations</w:t>
      </w:r>
      <w:r>
        <w:rPr>
          <w:rFonts w:ascii="Times New Roman" w:cs="Times New Roman" w:eastAsia="Times New Roman" w:hAnsi="Times New Roman"/>
          <w:sz w:val="20"/>
          <w:szCs w:val="20"/>
          <w:color w:val="282828"/>
        </w:rPr>
        <w:t>”).</w:t>
      </w:r>
    </w:p>
    <w:p>
      <w:pPr>
        <w:spacing w:after="0" w:line="238" w:lineRule="exact"/>
        <w:rPr>
          <w:sz w:val="20"/>
          <w:szCs w:val="20"/>
          <w:color w:val="auto"/>
        </w:rPr>
      </w:pPr>
    </w:p>
    <w:p>
      <w:pPr>
        <w:jc w:val="both"/>
        <w:ind w:left="40" w:right="100" w:firstLine="971"/>
        <w:spacing w:after="0" w:line="286" w:lineRule="auto"/>
        <w:rPr>
          <w:sz w:val="20"/>
          <w:szCs w:val="20"/>
          <w:color w:val="auto"/>
        </w:rPr>
      </w:pPr>
      <w:r>
        <w:rPr>
          <w:rFonts w:ascii="Times New Roman" w:cs="Times New Roman" w:eastAsia="Times New Roman" w:hAnsi="Times New Roman"/>
          <w:sz w:val="19"/>
          <w:szCs w:val="19"/>
          <w:color w:val="282828"/>
        </w:rPr>
        <w:t>In the event Company terminates this Agreement without Cause or Executive terminates this Agreement for Good Reason, Company shall, in addition to the Accrued Obligations</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pay a lump sum severance to Executive in an amount equal to one hundred percent (100%) of his then-existing total Salary (minus withholdings) (the Additional Salary (as defined below) portion thereof determined based on the target annual bonus for the year of termination) for the number of months equal to the Severance Period (as defined below), and an amount equal to Executive’s cost of continuation of his health benefits for the Severance Period (collectively, the “</w:t>
      </w:r>
      <w:r>
        <w:rPr>
          <w:rFonts w:ascii="Times New Roman" w:cs="Times New Roman" w:eastAsia="Times New Roman" w:hAnsi="Times New Roman"/>
          <w:sz w:val="19"/>
          <w:szCs w:val="19"/>
          <w:b w:val="1"/>
          <w:bCs w:val="1"/>
          <w:color w:val="282828"/>
        </w:rPr>
        <w:t>Severance Amount</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u w:val="single" w:color="auto"/>
          <w:color w:val="282828"/>
        </w:rPr>
        <w:t>provided,</w:t>
      </w:r>
      <w:r>
        <w:rPr>
          <w:rFonts w:ascii="Times New Roman" w:cs="Times New Roman" w:eastAsia="Times New Roman" w:hAnsi="Times New Roman"/>
          <w:sz w:val="19"/>
          <w:szCs w:val="19"/>
          <w:color w:val="282828"/>
        </w:rPr>
        <w:t xml:space="preserve"> that, such payment of the Severance Amount shall be reduced by the pre-tax amount (or the pre-tax equivalent) of any long-term disability benefit to which the Executive is entitled for the Severance Period. “</w:t>
      </w:r>
      <w:r>
        <w:rPr>
          <w:rFonts w:ascii="Times New Roman" w:cs="Times New Roman" w:eastAsia="Times New Roman" w:hAnsi="Times New Roman"/>
          <w:sz w:val="19"/>
          <w:szCs w:val="19"/>
          <w:b w:val="1"/>
          <w:bCs w:val="1"/>
          <w:color w:val="282828"/>
        </w:rPr>
        <w:t>Severance Period</w:t>
      </w:r>
      <w:r>
        <w:rPr>
          <w:rFonts w:ascii="Times New Roman" w:cs="Times New Roman" w:eastAsia="Times New Roman" w:hAnsi="Times New Roman"/>
          <w:sz w:val="19"/>
          <w:szCs w:val="19"/>
          <w:color w:val="282828"/>
        </w:rPr>
        <w:t>” means the twelve</w:t>
      </w:r>
    </w:p>
    <w:p>
      <w:pPr>
        <w:spacing w:after="0" w:line="2" w:lineRule="exact"/>
        <w:rPr>
          <w:sz w:val="20"/>
          <w:szCs w:val="20"/>
          <w:color w:val="auto"/>
        </w:rPr>
      </w:pPr>
    </w:p>
    <w:p>
      <w:pPr>
        <w:jc w:val="both"/>
        <w:ind w:left="40" w:right="100" w:hanging="4"/>
        <w:spacing w:after="0" w:line="273" w:lineRule="auto"/>
        <w:tabs>
          <w:tab w:leader="none" w:pos="455" w:val="left"/>
        </w:tabs>
        <w:numPr>
          <w:ilvl w:val="0"/>
          <w:numId w:val="68"/>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month period following the effective date of termination</w:t>
      </w:r>
      <w:r>
        <w:rPr>
          <w:rFonts w:ascii="Times New Roman" w:cs="Times New Roman" w:eastAsia="Times New Roman" w:hAnsi="Times New Roman"/>
          <w:sz w:val="20"/>
          <w:szCs w:val="20"/>
          <w:color w:val="535356"/>
        </w:rPr>
        <w:t>.</w:t>
      </w:r>
      <w:r>
        <w:rPr>
          <w:rFonts w:ascii="Times New Roman" w:cs="Times New Roman" w:eastAsia="Times New Roman" w:hAnsi="Times New Roman"/>
          <w:sz w:val="20"/>
          <w:szCs w:val="20"/>
          <w:color w:val="282828"/>
        </w:rPr>
        <w:t xml:space="preserve"> Notwithstanding the foregoing</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Executive shall receive the Severance Amount, (x) if and only if, Executive has executed a general release with Company that includes a release of Company and each of its subsidiaries and affiliates, their present and former officers, directors, executives, shareholders, members</w:t>
      </w:r>
      <w:r>
        <w:rPr>
          <w:rFonts w:ascii="Times New Roman" w:cs="Times New Roman" w:eastAsia="Times New Roman" w:hAnsi="Times New Roman"/>
          <w:sz w:val="20"/>
          <w:szCs w:val="20"/>
          <w:color w:val="535356"/>
        </w:rPr>
        <w:t>,</w:t>
      </w:r>
      <w:r>
        <w:rPr>
          <w:rFonts w:ascii="Times New Roman" w:cs="Times New Roman" w:eastAsia="Times New Roman" w:hAnsi="Times New Roman"/>
          <w:sz w:val="20"/>
          <w:szCs w:val="20"/>
          <w:color w:val="282828"/>
        </w:rPr>
        <w:t xml:space="preserve"> agents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attorneys, employees and employee benefit plans (and the fiduciaries thereof) from any and all claims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actions, causes of action</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complaints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charges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demands, rights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damages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expenses</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attorneys’ fees and liabilities of whate</w:t>
      </w:r>
      <w:r>
        <w:rPr>
          <w:rFonts w:ascii="Times New Roman" w:cs="Times New Roman" w:eastAsia="Times New Roman" w:hAnsi="Times New Roman"/>
          <w:sz w:val="20"/>
          <w:szCs w:val="20"/>
          <w:color w:val="424244"/>
        </w:rPr>
        <w:t>v</w:t>
      </w:r>
      <w:r>
        <w:rPr>
          <w:rFonts w:ascii="Times New Roman" w:cs="Times New Roman" w:eastAsia="Times New Roman" w:hAnsi="Times New Roman"/>
          <w:sz w:val="20"/>
          <w:szCs w:val="20"/>
          <w:color w:val="282828"/>
        </w:rPr>
        <w:t>er kind or nature in law, equity or otherwise, that arise out of</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or relate to</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this Agreement or the Executive’s employment or termination of employment with Company (the “</w:t>
      </w:r>
      <w:r>
        <w:rPr>
          <w:rFonts w:ascii="Times New Roman" w:cs="Times New Roman" w:eastAsia="Times New Roman" w:hAnsi="Times New Roman"/>
          <w:sz w:val="20"/>
          <w:szCs w:val="20"/>
          <w:b w:val="1"/>
          <w:bCs w:val="1"/>
          <w:color w:val="282828"/>
        </w:rPr>
        <w:t>Release</w:t>
      </w:r>
      <w:r>
        <w:rPr>
          <w:rFonts w:ascii="Times New Roman" w:cs="Times New Roman" w:eastAsia="Times New Roman" w:hAnsi="Times New Roman"/>
          <w:sz w:val="20"/>
          <w:szCs w:val="20"/>
          <w:color w:val="282828"/>
        </w:rPr>
        <w:t>”) (y) the Release become</w:t>
      </w:r>
      <w:r>
        <w:rPr>
          <w:rFonts w:ascii="Times New Roman" w:cs="Times New Roman" w:eastAsia="Times New Roman" w:hAnsi="Times New Roman"/>
          <w:sz w:val="20"/>
          <w:szCs w:val="20"/>
          <w:color w:val="424244"/>
        </w:rPr>
        <w:t>s</w:t>
      </w:r>
      <w:r>
        <w:rPr>
          <w:rFonts w:ascii="Times New Roman" w:cs="Times New Roman" w:eastAsia="Times New Roman" w:hAnsi="Times New Roman"/>
          <w:sz w:val="20"/>
          <w:szCs w:val="20"/>
          <w:color w:val="282828"/>
        </w:rPr>
        <w:t xml:space="preserve"> irrevocable within sixty (60) days following the date o</w:t>
      </w:r>
      <w:r>
        <w:rPr>
          <w:rFonts w:ascii="Times New Roman" w:cs="Times New Roman" w:eastAsia="Times New Roman" w:hAnsi="Times New Roman"/>
          <w:sz w:val="20"/>
          <w:szCs w:val="20"/>
          <w:color w:val="424244"/>
        </w:rPr>
        <w:t>f</w:t>
      </w:r>
      <w:r>
        <w:rPr>
          <w:rFonts w:ascii="Times New Roman" w:cs="Times New Roman" w:eastAsia="Times New Roman" w:hAnsi="Times New Roman"/>
          <w:sz w:val="20"/>
          <w:szCs w:val="20"/>
          <w:color w:val="282828"/>
        </w:rPr>
        <w:t xml:space="preserve"> termination (the date that the Release becomes irrevocable, the “</w:t>
      </w:r>
      <w:r>
        <w:rPr>
          <w:rFonts w:ascii="Times New Roman" w:cs="Times New Roman" w:eastAsia="Times New Roman" w:hAnsi="Times New Roman"/>
          <w:sz w:val="20"/>
          <w:szCs w:val="20"/>
          <w:b w:val="1"/>
          <w:bCs w:val="1"/>
          <w:color w:val="282828"/>
        </w:rPr>
        <w:t>Release Effective</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b w:val="1"/>
          <w:bCs w:val="1"/>
          <w:color w:val="282828"/>
        </w:rPr>
        <w:t>Date</w:t>
      </w: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and (z) only so long as Executive has not breached, and during the period over which the Severance Amount is paid does not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breach</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the provisions of the Release or Sections 9-13 hereof. The Sev</w:t>
      </w:r>
      <w:r>
        <w:rPr>
          <w:rFonts w:ascii="Times New Roman" w:cs="Times New Roman" w:eastAsia="Times New Roman" w:hAnsi="Times New Roman"/>
          <w:sz w:val="20"/>
          <w:szCs w:val="20"/>
          <w:color w:val="424244"/>
        </w:rPr>
        <w:t>e</w:t>
      </w:r>
      <w:r>
        <w:rPr>
          <w:rFonts w:ascii="Times New Roman" w:cs="Times New Roman" w:eastAsia="Times New Roman" w:hAnsi="Times New Roman"/>
          <w:sz w:val="20"/>
          <w:szCs w:val="20"/>
          <w:color w:val="282828"/>
        </w:rPr>
        <w:t>rance Amount will be payable on the first regular payroll date of the Company following the Release Effective Date, provided that if the sixty (60) day period described above begins in one calendar year and ends in a subsequent calendar year, the Severance Amount shall not be paid until such subsequent calendar year.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60"/>
          </w:cols>
          <w:pgMar w:left="400" w:top="10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0" w:right="100" w:firstLine="971"/>
        <w:spacing w:after="0" w:line="277" w:lineRule="auto"/>
        <w:rPr>
          <w:sz w:val="20"/>
          <w:szCs w:val="20"/>
          <w:color w:val="auto"/>
        </w:rPr>
      </w:pPr>
      <w:r>
        <w:rPr>
          <w:rFonts w:ascii="Times New Roman" w:cs="Times New Roman" w:eastAsia="Times New Roman" w:hAnsi="Times New Roman"/>
          <w:sz w:val="20"/>
          <w:szCs w:val="20"/>
          <w:color w:val="282828"/>
        </w:rPr>
        <w:t>If this Agreement is terminated as a result of Executive’s death or Permanent Disability (as defined below) after the close of a fiscal year and before the Additional Salary, if any, for that fiscal year is paid, then Executive or Executive’s legal representatives and</w:t>
      </w:r>
      <w:r>
        <w:rPr>
          <w:rFonts w:ascii="Times New Roman" w:cs="Times New Roman" w:eastAsia="Times New Roman" w:hAnsi="Times New Roman"/>
          <w:sz w:val="20"/>
          <w:szCs w:val="20"/>
          <w:color w:val="58585B"/>
        </w:rPr>
        <w:t>/</w:t>
      </w:r>
      <w:r>
        <w:rPr>
          <w:rFonts w:ascii="Times New Roman" w:cs="Times New Roman" w:eastAsia="Times New Roman" w:hAnsi="Times New Roman"/>
          <w:sz w:val="20"/>
          <w:szCs w:val="20"/>
          <w:color w:val="282828"/>
        </w:rPr>
        <w:t>or immediate family, in addition to the Accrued Obligations, shall be entitled to payment of such Additional Salary at the time when such Additional Salary would have been paid had Executive remained employed.</w:t>
      </w:r>
    </w:p>
    <w:p>
      <w:pPr>
        <w:spacing w:after="0" w:line="248" w:lineRule="exact"/>
        <w:rPr>
          <w:sz w:val="20"/>
          <w:szCs w:val="20"/>
          <w:color w:val="auto"/>
        </w:rPr>
      </w:pPr>
    </w:p>
    <w:p>
      <w:pPr>
        <w:jc w:val="both"/>
        <w:ind w:left="40" w:right="100" w:firstLine="971"/>
        <w:spacing w:after="0" w:line="297" w:lineRule="auto"/>
        <w:rPr>
          <w:sz w:val="20"/>
          <w:szCs w:val="20"/>
          <w:color w:val="auto"/>
        </w:rPr>
      </w:pPr>
      <w:r>
        <w:rPr>
          <w:rFonts w:ascii="Times New Roman" w:cs="Times New Roman" w:eastAsia="Times New Roman" w:hAnsi="Times New Roman"/>
          <w:sz w:val="20"/>
          <w:szCs w:val="20"/>
          <w:color w:val="282828"/>
        </w:rPr>
        <w:t>Upon termination of this Agreement for any reason whatsoever, any obligations, promises, or covenants set forth herein that are expressly made to extend beyond the term of the Agreement shall survive termination or expiration of this Agreement.</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282828"/>
        </w:rPr>
        <w:t>For purposes of this Agreement:</w:t>
      </w:r>
    </w:p>
    <w:p>
      <w:pPr>
        <w:spacing w:after="0" w:line="293" w:lineRule="exact"/>
        <w:rPr>
          <w:sz w:val="20"/>
          <w:szCs w:val="20"/>
          <w:color w:val="auto"/>
        </w:rPr>
      </w:pPr>
    </w:p>
    <w:p>
      <w:pPr>
        <w:ind w:left="40" w:right="100" w:firstLine="967"/>
        <w:spacing w:after="0" w:line="276" w:lineRule="auto"/>
        <w:tabs>
          <w:tab w:leader="none" w:pos="1865" w:val="left"/>
        </w:tabs>
        <w:numPr>
          <w:ilvl w:val="1"/>
          <w:numId w:val="69"/>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b w:val="1"/>
          <w:bCs w:val="1"/>
          <w:color w:val="282828"/>
        </w:rPr>
        <w:t>Cause</w:t>
      </w:r>
      <w:r>
        <w:rPr>
          <w:rFonts w:ascii="Times New Roman" w:cs="Times New Roman" w:eastAsia="Times New Roman" w:hAnsi="Times New Roman"/>
          <w:sz w:val="20"/>
          <w:szCs w:val="20"/>
          <w:color w:val="282828"/>
        </w:rPr>
        <w:t>” shall mean any of the following: (i) a material breach of this Agreement by Executive that has not been remedied by Executive to the reasonable satisfaction of Company within thirty</w:t>
      </w:r>
    </w:p>
    <w:p>
      <w:pPr>
        <w:spacing w:after="0" w:line="1" w:lineRule="exact"/>
        <w:rPr>
          <w:rFonts w:ascii="Times New Roman" w:cs="Times New Roman" w:eastAsia="Times New Roman" w:hAnsi="Times New Roman"/>
          <w:sz w:val="20"/>
          <w:szCs w:val="20"/>
          <w:color w:val="282828"/>
        </w:rPr>
      </w:pPr>
    </w:p>
    <w:p>
      <w:pPr>
        <w:jc w:val="both"/>
        <w:ind w:left="40" w:right="100" w:hanging="4"/>
        <w:spacing w:after="0" w:line="271" w:lineRule="auto"/>
        <w:tabs>
          <w:tab w:leader="none" w:pos="434" w:val="left"/>
        </w:tabs>
        <w:numPr>
          <w:ilvl w:val="0"/>
          <w:numId w:val="70"/>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days of written notice of such breach by Company to Executive; (ii) a material breach by Executive that has not been remedied by Executive to the reasonable satisfaction of Company within thirty (30) days of written notice of such breach by Company to Executive of Company’s written Compliance Program or other applicable reasonable and customary written policies and procedures, provided that any such Compliance Program, policy or procedure has been provided by Company to Executive prior to any such breach, and provided further that in the event of any conflict between any such Compliance Program, policy or procedure and the terms of this Agreement, the terms of this Agreement shall govern and control; (iii) exclusion of Executive from participation in any Federal health care program, which exclusion can reasonably be determined to threaten the competitive position of Company, provided that such exclusion has not been remedied by Executive to the reasonable satisfaction of Company within thirty (30) days of written notice of such exclusion by Company to Executive; (iv) any indictment for, conviction of, or plea of guilty or nolo contendere to any felony (other than motor vehicle offenses the effect of which do not materially affect the performance of Executive’s duties); (v) drug or alcohol abuse, or any other behavior; that can reasonably be determined to either threaten the safety of patients or staff, or to threaten the competitive position of Company and that such behavior has not been remedied by Executive to the reasonable satisfaction of Company within thirty (30) days of written notice of such behavior by Company to Executive; (vi) Executive willfully engaging in behavior that could reasonably be expected to damage the reputation</w:t>
      </w:r>
      <w:r>
        <w:rPr>
          <w:rFonts w:ascii="Times New Roman" w:cs="Times New Roman" w:eastAsia="Times New Roman" w:hAnsi="Times New Roman"/>
          <w:sz w:val="20"/>
          <w:szCs w:val="20"/>
          <w:color w:val="48484A"/>
        </w:rPr>
        <w:t>,</w:t>
      </w:r>
      <w:r>
        <w:rPr>
          <w:rFonts w:ascii="Times New Roman" w:cs="Times New Roman" w:eastAsia="Times New Roman" w:hAnsi="Times New Roman"/>
          <w:sz w:val="20"/>
          <w:szCs w:val="20"/>
          <w:color w:val="282828"/>
        </w:rPr>
        <w:t xml:space="preserve"> credibility or integrity of Company; provided that such behavior has not been remedied by Executive to the reasonable satisfaction of Company within thirty (30) days of written notice of such behavior by Company to Executive; (vii) Executive’s willful failure to comply with a reasonable</w:t>
      </w:r>
      <w:r>
        <w:rPr>
          <w:rFonts w:ascii="Times New Roman" w:cs="Times New Roman" w:eastAsia="Times New Roman" w:hAnsi="Times New Roman"/>
          <w:sz w:val="20"/>
          <w:szCs w:val="20"/>
          <w:color w:val="48484A"/>
        </w:rPr>
        <w:t>,</w:t>
      </w:r>
      <w:r>
        <w:rPr>
          <w:rFonts w:ascii="Times New Roman" w:cs="Times New Roman" w:eastAsia="Times New Roman" w:hAnsi="Times New Roman"/>
          <w:sz w:val="20"/>
          <w:szCs w:val="20"/>
          <w:color w:val="282828"/>
        </w:rPr>
        <w:t xml:space="preserve"> valid</w:t>
      </w:r>
      <w:r>
        <w:rPr>
          <w:rFonts w:ascii="Times New Roman" w:cs="Times New Roman" w:eastAsia="Times New Roman" w:hAnsi="Times New Roman"/>
          <w:sz w:val="20"/>
          <w:szCs w:val="20"/>
          <w:color w:val="48484A"/>
        </w:rPr>
        <w:t>,</w:t>
      </w:r>
      <w:r>
        <w:rPr>
          <w:rFonts w:ascii="Times New Roman" w:cs="Times New Roman" w:eastAsia="Times New Roman" w:hAnsi="Times New Roman"/>
          <w:sz w:val="20"/>
          <w:szCs w:val="20"/>
          <w:color w:val="282828"/>
        </w:rPr>
        <w:t xml:space="preserve"> and legal written directive of the Board of Directors or the CEO; (viii) Executive’s embezzlement, misappropriation or fraud, whether or not related to Executive’s employment with Company; or (ix) Executive’s willful unauthorized disclosure of Confidential Information or Proprietary Information;</w:t>
      </w:r>
    </w:p>
    <w:p>
      <w:pPr>
        <w:spacing w:after="0" w:line="249" w:lineRule="exact"/>
        <w:rPr>
          <w:rFonts w:ascii="Times New Roman" w:cs="Times New Roman" w:eastAsia="Times New Roman" w:hAnsi="Times New Roman"/>
          <w:sz w:val="20"/>
          <w:szCs w:val="20"/>
          <w:color w:val="282828"/>
        </w:rPr>
      </w:pPr>
    </w:p>
    <w:p>
      <w:pPr>
        <w:jc w:val="both"/>
        <w:ind w:left="40" w:right="100" w:firstLine="967"/>
        <w:spacing w:after="0" w:line="283" w:lineRule="auto"/>
        <w:tabs>
          <w:tab w:leader="none" w:pos="1862" w:val="left"/>
        </w:tabs>
        <w:numPr>
          <w:ilvl w:val="1"/>
          <w:numId w:val="70"/>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b w:val="1"/>
          <w:bCs w:val="1"/>
          <w:color w:val="282828"/>
        </w:rPr>
        <w:t>Good Reason</w:t>
      </w:r>
      <w:r>
        <w:rPr>
          <w:rFonts w:ascii="Times New Roman" w:cs="Times New Roman" w:eastAsia="Times New Roman" w:hAnsi="Times New Roman"/>
          <w:sz w:val="20"/>
          <w:szCs w:val="20"/>
          <w:color w:val="282828"/>
        </w:rPr>
        <w:t>” shall mean any of the following: (i) a material breach of this Agreement by Company; (ii) Company reduces the amount of the Base Salary, the Additional Salary or materially reduces the benefits Executive receives without Executive’s consent, unless such reduction was applied equally and in the same percentage to all members of Company’s senior executive team; (iii) any requirement that Executive report to someone other than the CEO, or (iv) a material diminution in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60"/>
          </w:cols>
          <w:pgMar w:left="400" w:top="10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40" w:right="100"/>
        <w:spacing w:after="0" w:line="297" w:lineRule="auto"/>
        <w:rPr>
          <w:sz w:val="20"/>
          <w:szCs w:val="20"/>
          <w:color w:val="auto"/>
        </w:rPr>
      </w:pPr>
      <w:r>
        <w:rPr>
          <w:rFonts w:ascii="Times New Roman" w:cs="Times New Roman" w:eastAsia="Times New Roman" w:hAnsi="Times New Roman"/>
          <w:sz w:val="20"/>
          <w:szCs w:val="20"/>
          <w:color w:val="282828"/>
        </w:rPr>
        <w:t>Executive’s level of duties or responsibilities hereunder. Executive must: (x) provide written notice of Executive’s resignation for Good Reason to the Company within ninety (90) days of the occurrence of a</w:t>
      </w:r>
    </w:p>
    <w:p>
      <w:pPr>
        <w:spacing w:after="0" w:line="200" w:lineRule="exact"/>
        <w:rPr>
          <w:sz w:val="20"/>
          <w:szCs w:val="20"/>
          <w:color w:val="auto"/>
        </w:rPr>
      </w:pPr>
    </w:p>
    <w:p>
      <w:pPr>
        <w:spacing w:after="0" w:line="311" w:lineRule="exact"/>
        <w:rPr>
          <w:sz w:val="20"/>
          <w:szCs w:val="20"/>
          <w:color w:val="auto"/>
        </w:rPr>
      </w:pPr>
    </w:p>
    <w:p>
      <w:pPr>
        <w:jc w:val="both"/>
        <w:ind w:left="40" w:right="120"/>
        <w:spacing w:after="0" w:line="282" w:lineRule="auto"/>
        <w:rPr>
          <w:sz w:val="20"/>
          <w:szCs w:val="20"/>
          <w:color w:val="auto"/>
        </w:rPr>
      </w:pPr>
      <w:r>
        <w:rPr>
          <w:rFonts w:ascii="Times New Roman" w:cs="Times New Roman" w:eastAsia="Times New Roman" w:hAnsi="Times New Roman"/>
          <w:sz w:val="20"/>
          <w:szCs w:val="20"/>
          <w:color w:val="282828"/>
        </w:rPr>
        <w:t>Good Reason event; and (y) allow Company thirty (30) days during which to cure the Good Reason event in all material respects in order for Executive’s resignation for Good Reason to be effective hereunder. If Company fails to cure the Good Reason event</w:t>
      </w:r>
      <w:r>
        <w:rPr>
          <w:rFonts w:ascii="Times New Roman" w:cs="Times New Roman" w:eastAsia="Times New Roman" w:hAnsi="Times New Roman"/>
          <w:sz w:val="20"/>
          <w:szCs w:val="20"/>
          <w:color w:val="444446"/>
        </w:rPr>
        <w:t>,</w:t>
      </w:r>
      <w:r>
        <w:rPr>
          <w:rFonts w:ascii="Times New Roman" w:cs="Times New Roman" w:eastAsia="Times New Roman" w:hAnsi="Times New Roman"/>
          <w:sz w:val="20"/>
          <w:szCs w:val="20"/>
          <w:color w:val="282828"/>
        </w:rPr>
        <w:t xml:space="preserve"> Executive’s employment will immediately terminate at the end of the thirty (30) day cure period; and</w:t>
      </w:r>
    </w:p>
    <w:p>
      <w:pPr>
        <w:spacing w:after="0" w:line="238" w:lineRule="exact"/>
        <w:rPr>
          <w:sz w:val="20"/>
          <w:szCs w:val="20"/>
          <w:color w:val="auto"/>
        </w:rPr>
      </w:pPr>
    </w:p>
    <w:p>
      <w:pPr>
        <w:jc w:val="both"/>
        <w:ind w:left="40" w:right="100" w:firstLine="967"/>
        <w:spacing w:after="0" w:line="278" w:lineRule="auto"/>
        <w:tabs>
          <w:tab w:leader="none" w:pos="1865" w:val="left"/>
        </w:tabs>
        <w:numPr>
          <w:ilvl w:val="1"/>
          <w:numId w:val="71"/>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w:t>
      </w:r>
      <w:r>
        <w:rPr>
          <w:rFonts w:ascii="Times New Roman" w:cs="Times New Roman" w:eastAsia="Times New Roman" w:hAnsi="Times New Roman"/>
          <w:sz w:val="20"/>
          <w:szCs w:val="20"/>
          <w:b w:val="1"/>
          <w:bCs w:val="1"/>
          <w:color w:val="282828"/>
        </w:rPr>
        <w:t>Permanent Disability</w:t>
      </w:r>
      <w:r>
        <w:rPr>
          <w:rFonts w:ascii="Times New Roman" w:cs="Times New Roman" w:eastAsia="Times New Roman" w:hAnsi="Times New Roman"/>
          <w:sz w:val="20"/>
          <w:szCs w:val="20"/>
          <w:color w:val="282828"/>
        </w:rPr>
        <w:t>” shall mean the determination by a physician that is mutually agreeable to Company and Executive that Executive has been</w:t>
      </w:r>
      <w:r>
        <w:rPr>
          <w:rFonts w:ascii="Times New Roman" w:cs="Times New Roman" w:eastAsia="Times New Roman" w:hAnsi="Times New Roman"/>
          <w:sz w:val="20"/>
          <w:szCs w:val="20"/>
          <w:color w:val="444446"/>
        </w:rPr>
        <w:t>,</w:t>
      </w:r>
      <w:r>
        <w:rPr>
          <w:rFonts w:ascii="Times New Roman" w:cs="Times New Roman" w:eastAsia="Times New Roman" w:hAnsi="Times New Roman"/>
          <w:sz w:val="20"/>
          <w:szCs w:val="20"/>
          <w:color w:val="282828"/>
        </w:rPr>
        <w:t xml:space="preserve"> or can reasonably be expected to be, unable to perform, by reason of physical or mental incapacity, Executive’s duties or obligations under this Agreement even with reasonable accommodation, for a total period of one hundred eighty consecutive days.</w:t>
      </w:r>
    </w:p>
    <w:p>
      <w:pPr>
        <w:spacing w:after="0" w:line="243" w:lineRule="exact"/>
        <w:rPr>
          <w:rFonts w:ascii="Times New Roman" w:cs="Times New Roman" w:eastAsia="Times New Roman" w:hAnsi="Times New Roman"/>
          <w:sz w:val="20"/>
          <w:szCs w:val="20"/>
          <w:color w:val="282828"/>
        </w:rPr>
      </w:pPr>
    </w:p>
    <w:p>
      <w:pPr>
        <w:jc w:val="both"/>
        <w:ind w:left="40" w:right="100" w:hanging="4"/>
        <w:spacing w:after="0" w:line="288" w:lineRule="auto"/>
        <w:tabs>
          <w:tab w:leader="none" w:pos="58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282828"/>
        </w:rPr>
        <w:t>Salary and Benefits</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Executive agrees that as full consideration for Executive’s Services, as of the Commencement Date,</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Company shall pay Executive an annual base salary (the “</w:t>
      </w:r>
      <w:r>
        <w:rPr>
          <w:rFonts w:ascii="Times New Roman" w:cs="Times New Roman" w:eastAsia="Times New Roman" w:hAnsi="Times New Roman"/>
          <w:sz w:val="19"/>
          <w:szCs w:val="19"/>
          <w:b w:val="1"/>
          <w:bCs w:val="1"/>
          <w:color w:val="282828"/>
        </w:rPr>
        <w:t>Base Salary</w:t>
      </w:r>
      <w:r>
        <w:rPr>
          <w:rFonts w:ascii="Times New Roman" w:cs="Times New Roman" w:eastAsia="Times New Roman" w:hAnsi="Times New Roman"/>
          <w:sz w:val="19"/>
          <w:szCs w:val="19"/>
          <w:color w:val="282828"/>
        </w:rPr>
        <w:t>”)</w:t>
      </w:r>
      <w:r>
        <w:rPr>
          <w:rFonts w:ascii="Times New Roman" w:cs="Times New Roman" w:eastAsia="Times New Roman" w:hAnsi="Times New Roman"/>
          <w:sz w:val="19"/>
          <w:szCs w:val="19"/>
          <w:color w:val="444446"/>
        </w:rPr>
        <w:t>,</w:t>
      </w:r>
      <w:r>
        <w:rPr>
          <w:rFonts w:ascii="Times New Roman" w:cs="Times New Roman" w:eastAsia="Times New Roman" w:hAnsi="Times New Roman"/>
          <w:sz w:val="19"/>
          <w:szCs w:val="19"/>
          <w:color w:val="282828"/>
        </w:rPr>
        <w:t xml:space="preserve"> an annual performance bonus (the “</w:t>
      </w:r>
      <w:r>
        <w:rPr>
          <w:rFonts w:ascii="Times New Roman" w:cs="Times New Roman" w:eastAsia="Times New Roman" w:hAnsi="Times New Roman"/>
          <w:sz w:val="19"/>
          <w:szCs w:val="19"/>
          <w:b w:val="1"/>
          <w:bCs w:val="1"/>
          <w:color w:val="282828"/>
        </w:rPr>
        <w:t>Additional Salary</w:t>
      </w:r>
      <w:r>
        <w:rPr>
          <w:rFonts w:ascii="Times New Roman" w:cs="Times New Roman" w:eastAsia="Times New Roman" w:hAnsi="Times New Roman"/>
          <w:sz w:val="19"/>
          <w:szCs w:val="19"/>
          <w:color w:val="282828"/>
        </w:rPr>
        <w:t>” which together with the Base Salary, collectively, are the “</w:t>
      </w:r>
      <w:r>
        <w:rPr>
          <w:rFonts w:ascii="Times New Roman" w:cs="Times New Roman" w:eastAsia="Times New Roman" w:hAnsi="Times New Roman"/>
          <w:sz w:val="19"/>
          <w:szCs w:val="19"/>
          <w:b w:val="1"/>
          <w:bCs w:val="1"/>
          <w:color w:val="282828"/>
        </w:rPr>
        <w:t>Salary</w:t>
      </w:r>
      <w:r>
        <w:rPr>
          <w:rFonts w:ascii="Times New Roman" w:cs="Times New Roman" w:eastAsia="Times New Roman" w:hAnsi="Times New Roman"/>
          <w:sz w:val="19"/>
          <w:szCs w:val="19"/>
          <w:color w:val="282828"/>
        </w:rPr>
        <w:t xml:space="preserve">”) and such other compensation as set forth more fully on </w:t>
      </w:r>
      <w:r>
        <w:rPr>
          <w:rFonts w:ascii="Times New Roman" w:cs="Times New Roman" w:eastAsia="Times New Roman" w:hAnsi="Times New Roman"/>
          <w:sz w:val="19"/>
          <w:szCs w:val="19"/>
          <w:b w:val="1"/>
          <w:bCs w:val="1"/>
          <w:color w:val="282828"/>
        </w:rPr>
        <w:t>Exhib</w:t>
      </w:r>
      <w:r>
        <w:rPr>
          <w:rFonts w:ascii="Times New Roman" w:cs="Times New Roman" w:eastAsia="Times New Roman" w:hAnsi="Times New Roman"/>
          <w:sz w:val="19"/>
          <w:szCs w:val="19"/>
          <w:b w:val="1"/>
          <w:bCs w:val="1"/>
          <w:color w:val="444446"/>
        </w:rPr>
        <w:t>i</w:t>
      </w:r>
      <w:r>
        <w:rPr>
          <w:rFonts w:ascii="Times New Roman" w:cs="Times New Roman" w:eastAsia="Times New Roman" w:hAnsi="Times New Roman"/>
          <w:sz w:val="19"/>
          <w:szCs w:val="19"/>
          <w:b w:val="1"/>
          <w:bCs w:val="1"/>
          <w:color w:val="282828"/>
        </w:rPr>
        <w:t>t A</w:t>
      </w:r>
      <w:r>
        <w:rPr>
          <w:rFonts w:ascii="Times New Roman" w:cs="Times New Roman" w:eastAsia="Times New Roman" w:hAnsi="Times New Roman"/>
          <w:sz w:val="19"/>
          <w:szCs w:val="19"/>
          <w:color w:val="282828"/>
        </w:rPr>
        <w:t xml:space="preserve"> of this Agreement, which is hereby incorporated by reference. Executive’s Salary shall be payable in accordance with Company’s normal payroll process. Company currently pays employees bimonthly and Executive’s Salary shall be subject to employment withholding and taxes. Further, as a full-time employee, Executive shall be eligible </w:t>
      </w:r>
      <w:r>
        <w:rPr>
          <w:rFonts w:ascii="Times New Roman" w:cs="Times New Roman" w:eastAsia="Times New Roman" w:hAnsi="Times New Roman"/>
          <w:sz w:val="19"/>
          <w:szCs w:val="19"/>
          <w:color w:val="000000"/>
        </w:rPr>
        <w:t>to participate in Company’s employee benefits, which are subject to change</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000000"/>
        </w:rPr>
        <w:t>periodically, as of the Commencement Date</w:t>
      </w:r>
      <w:r>
        <w:rPr>
          <w:rFonts w:ascii="Times New Roman" w:cs="Times New Roman" w:eastAsia="Times New Roman" w:hAnsi="Times New Roman"/>
          <w:sz w:val="19"/>
          <w:szCs w:val="19"/>
          <w:color w:val="282828"/>
        </w:rPr>
        <w:t>. Executive’s Salary shall be reviewed</w:t>
      </w:r>
      <w:r>
        <w:rPr>
          <w:rFonts w:ascii="Times New Roman" w:cs="Times New Roman" w:eastAsia="Times New Roman" w:hAnsi="Times New Roman"/>
          <w:sz w:val="19"/>
          <w:szCs w:val="19"/>
          <w:color w:val="444446"/>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82828"/>
        </w:rPr>
        <w:t>at least annually, in accordance with Company’s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82828"/>
        </w:rPr>
        <w:t xml:space="preserve">procedures for the review of the compensation of the members of its senior executive team and may not be reduced without Executive’s prior written consent, except as part of an across-the-board reduction applied in the same percentage to the base salaries of all members of the senior executive team. As part of Company’s annual performance review process, Executive’s Base Salary may be increased as documented in a compensation memorandum. Each compensation memorandum shall be deemed to amend </w:t>
      </w:r>
      <w:r>
        <w:rPr>
          <w:rFonts w:ascii="Times New Roman" w:cs="Times New Roman" w:eastAsia="Times New Roman" w:hAnsi="Times New Roman"/>
          <w:sz w:val="19"/>
          <w:szCs w:val="19"/>
          <w:b w:val="1"/>
          <w:bCs w:val="1"/>
          <w:color w:val="282828"/>
        </w:rPr>
        <w:t>Exhibit A</w:t>
      </w:r>
      <w:r>
        <w:rPr>
          <w:rFonts w:ascii="Times New Roman" w:cs="Times New Roman" w:eastAsia="Times New Roman" w:hAnsi="Times New Roman"/>
          <w:sz w:val="19"/>
          <w:szCs w:val="19"/>
          <w:color w:val="282828"/>
        </w:rPr>
        <w:t xml:space="preserve"> and</w:t>
      </w:r>
      <w:r>
        <w:rPr>
          <w:rFonts w:ascii="Times New Roman" w:cs="Times New Roman" w:eastAsia="Times New Roman" w:hAnsi="Times New Roman"/>
          <w:sz w:val="19"/>
          <w:szCs w:val="19"/>
          <w:color w:val="444446"/>
        </w:rPr>
        <w:t>,</w:t>
      </w:r>
      <w:r>
        <w:rPr>
          <w:rFonts w:ascii="Times New Roman" w:cs="Times New Roman" w:eastAsia="Times New Roman" w:hAnsi="Times New Roman"/>
          <w:sz w:val="19"/>
          <w:szCs w:val="19"/>
          <w:color w:val="282828"/>
        </w:rPr>
        <w:t xml:space="preserve"> as of the effective date of the compensation change, such compensation memorandum is hereby incorporated by reference into </w:t>
      </w:r>
      <w:r>
        <w:rPr>
          <w:rFonts w:ascii="Times New Roman" w:cs="Times New Roman" w:eastAsia="Times New Roman" w:hAnsi="Times New Roman"/>
          <w:sz w:val="19"/>
          <w:szCs w:val="19"/>
          <w:b w:val="1"/>
          <w:bCs w:val="1"/>
          <w:color w:val="282828"/>
        </w:rPr>
        <w:t>Exhibit A.</w:t>
      </w:r>
    </w:p>
    <w:p>
      <w:pPr>
        <w:spacing w:after="0" w:line="233" w:lineRule="exact"/>
        <w:rPr>
          <w:sz w:val="20"/>
          <w:szCs w:val="20"/>
          <w:color w:val="auto"/>
        </w:rPr>
      </w:pPr>
    </w:p>
    <w:p>
      <w:pPr>
        <w:jc w:val="both"/>
        <w:ind w:left="40" w:right="100" w:firstLine="971"/>
        <w:spacing w:after="0" w:line="282" w:lineRule="auto"/>
        <w:rPr>
          <w:sz w:val="20"/>
          <w:szCs w:val="20"/>
          <w:color w:val="auto"/>
        </w:rPr>
      </w:pPr>
      <w:r>
        <w:rPr>
          <w:rFonts w:ascii="Times New Roman" w:cs="Times New Roman" w:eastAsia="Times New Roman" w:hAnsi="Times New Roman"/>
          <w:sz w:val="20"/>
          <w:szCs w:val="20"/>
          <w:color w:val="282828"/>
        </w:rPr>
        <w:t>Company shall reimburse Executive for all reasonable and authorized business expenses incurred by Executive in direct performance of the Services under this Agreement in accordance with Company’s generally applicable expense reimbursement policies and procedures. Executive agrees to make all reasonable efforts to save costs, including wherever possible</w:t>
      </w:r>
      <w:r>
        <w:rPr>
          <w:rFonts w:ascii="Times New Roman" w:cs="Times New Roman" w:eastAsia="Times New Roman" w:hAnsi="Times New Roman"/>
          <w:sz w:val="20"/>
          <w:szCs w:val="20"/>
          <w:color w:val="444446"/>
        </w:rPr>
        <w:t>,</w:t>
      </w:r>
      <w:r>
        <w:rPr>
          <w:rFonts w:ascii="Times New Roman" w:cs="Times New Roman" w:eastAsia="Times New Roman" w:hAnsi="Times New Roman"/>
          <w:sz w:val="20"/>
          <w:szCs w:val="20"/>
          <w:color w:val="282828"/>
        </w:rPr>
        <w:t xml:space="preserve"> booking economy airfares at least fourteen (14) days in advance, driving if cost effective, and staying in moderately priced hotels</w:t>
      </w:r>
      <w:r>
        <w:rPr>
          <w:rFonts w:ascii="Times New Roman" w:cs="Times New Roman" w:eastAsia="Times New Roman" w:hAnsi="Times New Roman"/>
          <w:sz w:val="20"/>
          <w:szCs w:val="20"/>
          <w:color w:val="444446"/>
        </w:rPr>
        <w:t>.</w:t>
      </w:r>
    </w:p>
    <w:p>
      <w:pPr>
        <w:spacing w:after="0" w:line="198" w:lineRule="exact"/>
        <w:rPr>
          <w:sz w:val="20"/>
          <w:szCs w:val="20"/>
          <w:color w:val="auto"/>
        </w:rPr>
      </w:pPr>
    </w:p>
    <w:p>
      <w:pPr>
        <w:ind w:left="1000" w:hanging="964"/>
        <w:spacing w:after="0"/>
        <w:tabs>
          <w:tab w:leader="none" w:pos="10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282828"/>
        </w:rPr>
        <w:t>Representations and Warranties:</w:t>
      </w:r>
    </w:p>
    <w:p>
      <w:pPr>
        <w:spacing w:after="0" w:line="300" w:lineRule="exact"/>
        <w:rPr>
          <w:rFonts w:ascii="Times New Roman" w:cs="Times New Roman" w:eastAsia="Times New Roman" w:hAnsi="Times New Roman"/>
          <w:sz w:val="20"/>
          <w:szCs w:val="20"/>
          <w:color w:val="auto"/>
        </w:rPr>
      </w:pPr>
    </w:p>
    <w:p>
      <w:pPr>
        <w:jc w:val="both"/>
        <w:ind w:left="40" w:right="100" w:firstLine="967"/>
        <w:spacing w:after="0" w:line="274" w:lineRule="auto"/>
        <w:tabs>
          <w:tab w:leader="none" w:pos="1865" w:val="left"/>
        </w:tabs>
        <w:numPr>
          <w:ilvl w:val="1"/>
          <w:numId w:val="73"/>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Executive represents and warrants (i) that Executive has no obligations</w:t>
      </w:r>
      <w:r>
        <w:rPr>
          <w:rFonts w:ascii="Times New Roman" w:cs="Times New Roman" w:eastAsia="Times New Roman" w:hAnsi="Times New Roman"/>
          <w:sz w:val="20"/>
          <w:szCs w:val="20"/>
          <w:color w:val="444446"/>
        </w:rPr>
        <w:t>,</w:t>
      </w:r>
      <w:r>
        <w:rPr>
          <w:rFonts w:ascii="Times New Roman" w:cs="Times New Roman" w:eastAsia="Times New Roman" w:hAnsi="Times New Roman"/>
          <w:sz w:val="20"/>
          <w:szCs w:val="20"/>
          <w:color w:val="282828"/>
        </w:rPr>
        <w:t xml:space="preserve"> legal or otherwise, inconsistent with the terms of this Agreement or with Executive</w:t>
      </w:r>
      <w:r>
        <w:rPr>
          <w:rFonts w:ascii="Times New Roman" w:cs="Times New Roman" w:eastAsia="Times New Roman" w:hAnsi="Times New Roman"/>
          <w:sz w:val="20"/>
          <w:szCs w:val="20"/>
          <w:color w:val="444446"/>
        </w:rPr>
        <w:t>’</w:t>
      </w:r>
      <w:r>
        <w:rPr>
          <w:rFonts w:ascii="Times New Roman" w:cs="Times New Roman" w:eastAsia="Times New Roman" w:hAnsi="Times New Roman"/>
          <w:sz w:val="20"/>
          <w:szCs w:val="20"/>
          <w:color w:val="282828"/>
        </w:rPr>
        <w:t>s undertaking this relationship with Company, (ii) that the performance of the Services called for by this Agreement do not and will not violate any applicable law, rule or regulation or any proprietary o</w:t>
      </w:r>
      <w:r>
        <w:rPr>
          <w:rFonts w:ascii="Times New Roman" w:cs="Times New Roman" w:eastAsia="Times New Roman" w:hAnsi="Times New Roman"/>
          <w:sz w:val="20"/>
          <w:szCs w:val="20"/>
          <w:color w:val="444446"/>
        </w:rPr>
        <w:t>r</w:t>
      </w:r>
      <w:r>
        <w:rPr>
          <w:rFonts w:ascii="Times New Roman" w:cs="Times New Roman" w:eastAsia="Times New Roman" w:hAnsi="Times New Roman"/>
          <w:sz w:val="20"/>
          <w:szCs w:val="20"/>
          <w:color w:val="282828"/>
        </w:rPr>
        <w:t xml:space="preserve"> other right of any third party, (iii) that Executive will not use in the performance of his responsibilities under this Agreement any confidential information or trade secrets of any other person or entity, (iv) that Executive has not entered into or will enter into </w:t>
      </w:r>
      <w:r>
        <w:rPr>
          <w:rFonts w:ascii="Times New Roman" w:cs="Times New Roman" w:eastAsia="Times New Roman" w:hAnsi="Times New Roman"/>
          <w:sz w:val="20"/>
          <w:szCs w:val="20"/>
          <w:color w:val="000000"/>
        </w:rPr>
        <w:t>any</w:t>
      </w:r>
      <w:r>
        <w:rPr>
          <w:rFonts w:ascii="Times New Roman" w:cs="Times New Roman" w:eastAsia="Times New Roman" w:hAnsi="Times New Roman"/>
          <w:sz w:val="20"/>
          <w:szCs w:val="20"/>
          <w:color w:val="282828"/>
        </w:rPr>
        <w:t xml:space="preserve"> agreement (whether oral or written) in conflict with this Agreement, (v) that the Services provided by Executive shall be performed in a professional manner and shall be performed in a</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60"/>
          </w:cols>
          <w:pgMar w:left="400" w:top="10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40" w:right="100"/>
        <w:spacing w:after="0" w:line="277" w:lineRule="auto"/>
        <w:rPr>
          <w:sz w:val="20"/>
          <w:szCs w:val="20"/>
          <w:color w:val="auto"/>
        </w:rPr>
      </w:pPr>
      <w:r>
        <w:rPr>
          <w:rFonts w:ascii="Times New Roman" w:cs="Times New Roman" w:eastAsia="Times New Roman" w:hAnsi="Times New Roman"/>
          <w:sz w:val="20"/>
          <w:szCs w:val="20"/>
          <w:color w:val="282828"/>
        </w:rPr>
        <w:t>timely manner, (vi) that Executive shall reasonably meet deadlines agreed between Executive and Company, (vii) that Executive has not been suspended, excluded or debarred from any healthcare or governmental payment or procurement program, and shall notify Company immediately if Executive is suspended, excluded or debarred from any such program, and (viii) that the Salary is not based upon the volume or value of actual or potential referrals or other business generated between the Parties.</w:t>
      </w:r>
    </w:p>
    <w:p>
      <w:pPr>
        <w:spacing w:after="0" w:line="248" w:lineRule="exact"/>
        <w:rPr>
          <w:sz w:val="20"/>
          <w:szCs w:val="20"/>
          <w:color w:val="auto"/>
        </w:rPr>
      </w:pPr>
    </w:p>
    <w:p>
      <w:pPr>
        <w:jc w:val="both"/>
        <w:ind w:left="40" w:right="100" w:firstLine="967"/>
        <w:spacing w:after="0" w:line="282" w:lineRule="auto"/>
        <w:tabs>
          <w:tab w:leader="none" w:pos="1862" w:val="left"/>
        </w:tabs>
        <w:numPr>
          <w:ilvl w:val="1"/>
          <w:numId w:val="74"/>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color w:val="282828"/>
        </w:rPr>
        <w:t>Company represents and warrants (i) that Company has no obligations, legal or otherwise, inconsistent with the terms of this Agreement or with Company’s undertaking this relationship with Executive, (ii) that the performance of the Services called for by this Agreement do not and will not violate any applicable law</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82828"/>
        </w:rPr>
        <w:t xml:space="preserve"> rule or regulation or any proprietary or other right of any third party,</w:t>
      </w:r>
    </w:p>
    <w:p>
      <w:pPr>
        <w:spacing w:after="0" w:line="1" w:lineRule="exact"/>
        <w:rPr>
          <w:rFonts w:ascii="Times New Roman" w:cs="Times New Roman" w:eastAsia="Times New Roman" w:hAnsi="Times New Roman"/>
          <w:sz w:val="19"/>
          <w:szCs w:val="19"/>
          <w:color w:val="282828"/>
        </w:rPr>
      </w:pPr>
    </w:p>
    <w:p>
      <w:pPr>
        <w:jc w:val="both"/>
        <w:ind w:left="40" w:right="100" w:hanging="4"/>
        <w:spacing w:after="0" w:line="278" w:lineRule="auto"/>
        <w:tabs>
          <w:tab w:leader="none" w:pos="388" w:val="left"/>
        </w:tabs>
        <w:numPr>
          <w:ilvl w:val="0"/>
          <w:numId w:val="75"/>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that Company does not and will not knowingly use any confidential information or trade secrets of any other person or entity</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82828"/>
        </w:rPr>
        <w:t xml:space="preserve"> (iv) that Company has not entered into or will enter into any agreement (whether oral or written) in conflict with this Agreement, (v) that Company has not been suspended, excluded or debarred from any healthcare or governmental payment or procurement program, and shall notify Executive immediately if Company is suspended, excluded or debarred from any such program, and (vi) that the Salary is not based upon the volume or value of actual or potential referrals or other business generated between the parties.</w:t>
      </w:r>
    </w:p>
    <w:p>
      <w:pPr>
        <w:spacing w:after="0" w:line="232" w:lineRule="exact"/>
        <w:rPr>
          <w:rFonts w:ascii="Times New Roman" w:cs="Times New Roman" w:eastAsia="Times New Roman" w:hAnsi="Times New Roman"/>
          <w:sz w:val="20"/>
          <w:szCs w:val="20"/>
          <w:color w:val="282828"/>
        </w:rPr>
      </w:pPr>
    </w:p>
    <w:p>
      <w:pPr>
        <w:jc w:val="both"/>
        <w:ind w:left="40" w:right="100" w:firstLine="967"/>
        <w:spacing w:after="0" w:line="278" w:lineRule="auto"/>
        <w:tabs>
          <w:tab w:leader="none" w:pos="1865" w:val="left"/>
        </w:tabs>
        <w:numPr>
          <w:ilvl w:val="1"/>
          <w:numId w:val="75"/>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color w:val="282828"/>
        </w:rPr>
        <w:t>Without limiting any provision herein set forth, each of the Parties hereby represents and warrants to the other that in providing its respective services hereunder that neither party shall knowingly act in a manner that violates federal and state laws regarding the confidentiality of protected health information, including without limitation, the Health Insurance Portability and Accountability Act of 1996 (42 U.S.C. 1320d-1329d-8; 42 U.S.C. 1320d-2), as amended, (“</w:t>
      </w:r>
      <w:r>
        <w:rPr>
          <w:rFonts w:ascii="Times New Roman" w:cs="Times New Roman" w:eastAsia="Times New Roman" w:hAnsi="Times New Roman"/>
          <w:sz w:val="20"/>
          <w:szCs w:val="20"/>
          <w:b w:val="1"/>
          <w:bCs w:val="1"/>
          <w:color w:val="282828"/>
        </w:rPr>
        <w:t>HIPAA</w:t>
      </w:r>
      <w:r>
        <w:rPr>
          <w:rFonts w:ascii="Times New Roman" w:cs="Times New Roman" w:eastAsia="Times New Roman" w:hAnsi="Times New Roman"/>
          <w:sz w:val="20"/>
          <w:szCs w:val="20"/>
          <w:color w:val="282828"/>
        </w:rPr>
        <w:t>”), and all regulations promulgated thereunder</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82828"/>
        </w:rPr>
        <w:t xml:space="preserve"> including the HIPAA privacy and security regulations.</w:t>
      </w:r>
    </w:p>
    <w:p>
      <w:pPr>
        <w:spacing w:after="0" w:line="244" w:lineRule="exact"/>
        <w:rPr>
          <w:sz w:val="20"/>
          <w:szCs w:val="20"/>
          <w:color w:val="auto"/>
        </w:rPr>
      </w:pPr>
    </w:p>
    <w:p>
      <w:pPr>
        <w:jc w:val="both"/>
        <w:ind w:left="40" w:right="100" w:hanging="4"/>
        <w:spacing w:after="0" w:line="284"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Relationship of the Parties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s</w:t>
      </w:r>
      <w:r>
        <w:rPr>
          <w:rFonts w:ascii="Times New Roman" w:cs="Times New Roman" w:eastAsia="Times New Roman" w:hAnsi="Times New Roman"/>
          <w:sz w:val="20"/>
          <w:szCs w:val="20"/>
          <w:color w:val="484848"/>
        </w:rPr>
        <w:t>h</w:t>
      </w:r>
      <w:r>
        <w:rPr>
          <w:rFonts w:ascii="Times New Roman" w:cs="Times New Roman" w:eastAsia="Times New Roman" w:hAnsi="Times New Roman"/>
          <w:sz w:val="20"/>
          <w:szCs w:val="20"/>
          <w:color w:val="282828"/>
        </w:rPr>
        <w:t>all be an employee of Company. Nothing in this Agreement shall be construed as creating</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an absolute guarantee of future employment or engagement</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82828"/>
        </w:rPr>
        <w:t xml:space="preserve"> or as a limitation upon the sole discretion of Company or Executive to terminate this Agreement as provided for herein.</w:t>
      </w:r>
    </w:p>
    <w:p>
      <w:pPr>
        <w:spacing w:after="0" w:line="223" w:lineRule="exact"/>
        <w:rPr>
          <w:rFonts w:ascii="Times New Roman" w:cs="Times New Roman" w:eastAsia="Times New Roman" w:hAnsi="Times New Roman"/>
          <w:sz w:val="20"/>
          <w:szCs w:val="20"/>
          <w:color w:val="auto"/>
        </w:rPr>
      </w:pPr>
    </w:p>
    <w:p>
      <w:pPr>
        <w:jc w:val="both"/>
        <w:ind w:left="40" w:right="100" w:hanging="4"/>
        <w:spacing w:after="0" w:line="286" w:lineRule="auto"/>
        <w:tabs>
          <w:tab w:leader="none" w:pos="58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282828"/>
        </w:rPr>
        <w:t>Non-Compete</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In recognition of the substantial time, money and effort expended by Company in the development of its</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Confidential Information and Proprietary Information; the fact that Executive will have access to and be personally entrusted with such Confidential Information and Proprietary Information during Executive</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82828"/>
        </w:rPr>
        <w:t>s employment with Company; the high degree of competition in the field Company has chosen to engage in; the special knowledge and expertise that Executive may develop as a result of his employment with Company; and the worldwide nature of Company’s business</w:t>
      </w:r>
      <w:r>
        <w:rPr>
          <w:rFonts w:ascii="Times New Roman" w:cs="Times New Roman" w:eastAsia="Times New Roman" w:hAnsi="Times New Roman"/>
          <w:sz w:val="19"/>
          <w:szCs w:val="19"/>
          <w:color w:val="484848"/>
        </w:rPr>
        <w:t>,</w:t>
      </w:r>
      <w:r>
        <w:rPr>
          <w:rFonts w:ascii="Times New Roman" w:cs="Times New Roman" w:eastAsia="Times New Roman" w:hAnsi="Times New Roman"/>
          <w:sz w:val="19"/>
          <w:szCs w:val="19"/>
          <w:color w:val="282828"/>
        </w:rPr>
        <w:t xml:space="preserve"> Executive agrees that during his employment with Company and for one</w:t>
      </w:r>
    </w:p>
    <w:p>
      <w:pPr>
        <w:jc w:val="both"/>
        <w:ind w:left="40" w:right="100"/>
        <w:spacing w:after="0" w:line="27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282828"/>
        </w:rPr>
        <w:t>(1) year after such employment ends (the “</w:t>
      </w:r>
      <w:r>
        <w:rPr>
          <w:rFonts w:ascii="Times New Roman" w:cs="Times New Roman" w:eastAsia="Times New Roman" w:hAnsi="Times New Roman"/>
          <w:sz w:val="20"/>
          <w:szCs w:val="20"/>
          <w:b w:val="1"/>
          <w:bCs w:val="1"/>
          <w:color w:val="282828"/>
        </w:rPr>
        <w:t>Non- Compete Period</w:t>
      </w:r>
      <w:r>
        <w:rPr>
          <w:rFonts w:ascii="Times New Roman" w:cs="Times New Roman" w:eastAsia="Times New Roman" w:hAnsi="Times New Roman"/>
          <w:sz w:val="20"/>
          <w:szCs w:val="20"/>
          <w:color w:val="282828"/>
        </w:rPr>
        <w:t>”), Executive will not directly or indirectly compete with Company in any way</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82828"/>
        </w:rPr>
        <w:t xml:space="preserve"> within any State in the United States, in which Company provides products or services as of the date of the termination, which States as of the Effective Date include the States of California, Connecticut, Delaware, Florida, Georgia</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282828"/>
        </w:rPr>
        <w:t xml:space="preserve"> Maryland</w:t>
      </w:r>
      <w:r>
        <w:rPr>
          <w:rFonts w:ascii="Times New Roman" w:cs="Times New Roman" w:eastAsia="Times New Roman" w:hAnsi="Times New Roman"/>
          <w:sz w:val="20"/>
          <w:szCs w:val="20"/>
          <w:color w:val="484848"/>
        </w:rPr>
        <w:t>, Montana, North</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484848"/>
        </w:rPr>
        <w:t xml:space="preserve">Carolina, Ohio, South Carolina, Tennessee, Texas, </w:t>
      </w:r>
      <w:r>
        <w:rPr>
          <w:rFonts w:ascii="Times New Roman" w:cs="Times New Roman" w:eastAsia="Times New Roman" w:hAnsi="Times New Roman"/>
          <w:sz w:val="20"/>
          <w:szCs w:val="20"/>
          <w:color w:val="282828"/>
        </w:rPr>
        <w:t>Virginia, Washington and the District of Columbia, by providing services as an</w:t>
      </w:r>
      <w:r>
        <w:rPr>
          <w:rFonts w:ascii="Times New Roman" w:cs="Times New Roman" w:eastAsia="Times New Roman" w:hAnsi="Times New Roman"/>
          <w:sz w:val="20"/>
          <w:szCs w:val="20"/>
          <w:color w:val="484848"/>
        </w:rPr>
        <w:t xml:space="preserve"> </w:t>
      </w:r>
      <w:r>
        <w:rPr>
          <w:rFonts w:ascii="Times New Roman" w:cs="Times New Roman" w:eastAsia="Times New Roman" w:hAnsi="Times New Roman"/>
          <w:sz w:val="20"/>
          <w:szCs w:val="20"/>
          <w:color w:val="282828"/>
        </w:rPr>
        <w:t>employee, director, consultant or otherwise to a person or entity (defined below) in competition with Company</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000000"/>
        </w:rPr>
        <w:t>The Parties agree that for</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000000"/>
        </w:rPr>
        <w:t>purposes of this Agreement, a person or entity is in competition with Company if it operates or manages medical groups, health systems, independent physicians associations,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60"/>
          </w:cols>
          <w:pgMar w:left="400" w:top="10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or accountable care organizations in any state in which Company or its subsidiaries and affiliates conducts</w:t>
      </w:r>
    </w:p>
    <w:p>
      <w:pPr>
        <w:spacing w:after="0" w:line="200" w:lineRule="exact"/>
        <w:rPr>
          <w:sz w:val="20"/>
          <w:szCs w:val="20"/>
          <w:color w:val="auto"/>
        </w:rPr>
      </w:pPr>
    </w:p>
    <w:p>
      <w:pPr>
        <w:spacing w:after="0" w:line="394" w:lineRule="exact"/>
        <w:rPr>
          <w:sz w:val="20"/>
          <w:szCs w:val="20"/>
          <w:color w:val="auto"/>
        </w:rPr>
      </w:pPr>
    </w:p>
    <w:p>
      <w:pPr>
        <w:jc w:val="both"/>
        <w:ind w:left="40" w:right="100"/>
        <w:spacing w:after="0" w:line="286" w:lineRule="auto"/>
        <w:rPr>
          <w:sz w:val="20"/>
          <w:szCs w:val="20"/>
          <w:color w:val="auto"/>
        </w:rPr>
      </w:pPr>
      <w:r>
        <w:rPr>
          <w:rFonts w:ascii="Times New Roman" w:cs="Times New Roman" w:eastAsia="Times New Roman" w:hAnsi="Times New Roman"/>
          <w:sz w:val="19"/>
          <w:szCs w:val="19"/>
          <w:color w:val="auto"/>
        </w:rPr>
        <w:t xml:space="preserve">business at the time of Executive's termination. </w:t>
      </w:r>
      <w:r>
        <w:rPr>
          <w:rFonts w:ascii="Times New Roman" w:cs="Times New Roman" w:eastAsia="Times New Roman" w:hAnsi="Times New Roman"/>
          <w:sz w:val="19"/>
          <w:szCs w:val="19"/>
          <w:color w:val="282828"/>
        </w:rPr>
        <w:t>It is recognized by the Parties that Company conducts and is expected to continue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82828"/>
        </w:rPr>
        <w:t>conduct its business throughout the United States and that more narrow geographical limitations than those States described above of any nature on this non-competition covenant are therefore not appropriate. Executive acknowledges that this covenant not to compete is limited to the types of activities and services that Executive provided in Executive’s employment with Company, and the foregoing shall not prevent Executive from working for or performing services on behalf of a competitive business if such competitive business is also engaged in other lines of business and if Executive's employment or services are restricted to such other lines of business, and Executive will not be providing support, advice, instruction, direction or other guidance to lines of business that constitute the competitive business. As such, Executive acknowledges and agrees that these restrictions allow Executive an adequate number and variety of employment alternatives, based on his varied skills and abilities. Executive represents that Executive is willing and able to compete in other employment not prohibited by this Agreement. For example, Executive acknowledges that the covenant not to compete set forth in this Agreement in no way limits Executive’s ability to work in some role that does not compete with the business of Company. Executive represents and agrees that the restrictions on competition, as to time, geographic area, and scope of activity are reasonable, do not impose a greater restraint than is necessary to protect the goodwill and business interests of Company, and are not unduly burdensome to Executive. However, if, at the time of enforcement</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 xml:space="preserve"> a court shall hold that the restrictions stated herein are unreasonable under circumstances then existing, the Parties agree that the maximum duration</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 xml:space="preserve"> scope and area reasonable under such circumstances shall be substituted for the stated duration, scope and area and that the court shall be allowed and directed to revise the restrictions conta</w:t>
      </w:r>
      <w:r>
        <w:rPr>
          <w:rFonts w:ascii="Times New Roman" w:cs="Times New Roman" w:eastAsia="Times New Roman" w:hAnsi="Times New Roman"/>
          <w:sz w:val="19"/>
          <w:szCs w:val="19"/>
          <w:color w:val="444444"/>
        </w:rPr>
        <w:t>i</w:t>
      </w:r>
      <w:r>
        <w:rPr>
          <w:rFonts w:ascii="Times New Roman" w:cs="Times New Roman" w:eastAsia="Times New Roman" w:hAnsi="Times New Roman"/>
          <w:sz w:val="19"/>
          <w:szCs w:val="19"/>
          <w:color w:val="282828"/>
        </w:rPr>
        <w:t>ned therein to cover the maximum period, scope and area perm</w:t>
      </w:r>
      <w:r>
        <w:rPr>
          <w:rFonts w:ascii="Times New Roman" w:cs="Times New Roman" w:eastAsia="Times New Roman" w:hAnsi="Times New Roman"/>
          <w:sz w:val="19"/>
          <w:szCs w:val="19"/>
          <w:color w:val="444444"/>
        </w:rPr>
        <w:t>i</w:t>
      </w:r>
      <w:r>
        <w:rPr>
          <w:rFonts w:ascii="Times New Roman" w:cs="Times New Roman" w:eastAsia="Times New Roman" w:hAnsi="Times New Roman"/>
          <w:sz w:val="19"/>
          <w:szCs w:val="19"/>
          <w:color w:val="282828"/>
        </w:rPr>
        <w:t>tted by law. In the event of a breach or violation by Executive of Section 9 as determined by a court of competent jurisdiction</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 xml:space="preserve"> the Non-Compete Period shall be tolled until such breach or violation has been duly cured.</w:t>
      </w:r>
    </w:p>
    <w:p>
      <w:pPr>
        <w:spacing w:after="0" w:line="251" w:lineRule="exact"/>
        <w:rPr>
          <w:sz w:val="20"/>
          <w:szCs w:val="20"/>
          <w:color w:val="auto"/>
        </w:rPr>
      </w:pPr>
    </w:p>
    <w:p>
      <w:pPr>
        <w:jc w:val="both"/>
        <w:ind w:left="40" w:right="100" w:hanging="4"/>
        <w:spacing w:after="0" w:line="277"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Non-Solicitation of Customers or Prospects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acknowledges that information about Company’s customers is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confidential and constitutes trade secrets. Accordingly</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Executive agrees that during his employment with Company and for a period of two (2) years after the termination of this Agreement for any reason, Executive will not</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either directly or indirectly</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separately or in association with others, interfere with, impair, disrupt or damage Company</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s reputation or relationship with any of its customers, including physicians, or customer prospects by soliciting or encouraging others to solicit any of them for the purpose of diverting or taking away business from Company</w:t>
      </w:r>
      <w:r>
        <w:rPr>
          <w:rFonts w:ascii="Times New Roman" w:cs="Times New Roman" w:eastAsia="Times New Roman" w:hAnsi="Times New Roman"/>
          <w:sz w:val="20"/>
          <w:szCs w:val="20"/>
          <w:color w:val="444444"/>
        </w:rPr>
        <w:t>.</w:t>
      </w:r>
    </w:p>
    <w:p>
      <w:pPr>
        <w:spacing w:after="0" w:line="175" w:lineRule="exact"/>
        <w:rPr>
          <w:rFonts w:ascii="Times New Roman" w:cs="Times New Roman" w:eastAsia="Times New Roman" w:hAnsi="Times New Roman"/>
          <w:sz w:val="20"/>
          <w:szCs w:val="20"/>
          <w:color w:val="auto"/>
        </w:rPr>
      </w:pPr>
    </w:p>
    <w:p>
      <w:pPr>
        <w:jc w:val="both"/>
        <w:ind w:left="40" w:right="100" w:hanging="4"/>
        <w:spacing w:after="0" w:line="274"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Non-Solicitation of Employees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acknowledges that information about Company’s employees is confidential and</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constitutes trade secrets. Accordingly, Executive agrees that during his employment with Company and for a period of two (2) years after the terminat</w:t>
      </w:r>
      <w:r>
        <w:rPr>
          <w:rFonts w:ascii="Times New Roman" w:cs="Times New Roman" w:eastAsia="Times New Roman" w:hAnsi="Times New Roman"/>
          <w:sz w:val="20"/>
          <w:szCs w:val="20"/>
          <w:color w:val="444444"/>
        </w:rPr>
        <w:t>i</w:t>
      </w:r>
      <w:r>
        <w:rPr>
          <w:rFonts w:ascii="Times New Roman" w:cs="Times New Roman" w:eastAsia="Times New Roman" w:hAnsi="Times New Roman"/>
          <w:sz w:val="20"/>
          <w:szCs w:val="20"/>
          <w:color w:val="282828"/>
        </w:rPr>
        <w:t>on of this Agreem</w:t>
      </w:r>
      <w:r>
        <w:rPr>
          <w:rFonts w:ascii="Times New Roman" w:cs="Times New Roman" w:eastAsia="Times New Roman" w:hAnsi="Times New Roman"/>
          <w:sz w:val="20"/>
          <w:szCs w:val="20"/>
          <w:color w:val="444444"/>
        </w:rPr>
        <w:t>e</w:t>
      </w:r>
      <w:r>
        <w:rPr>
          <w:rFonts w:ascii="Times New Roman" w:cs="Times New Roman" w:eastAsia="Times New Roman" w:hAnsi="Times New Roman"/>
          <w:sz w:val="20"/>
          <w:szCs w:val="20"/>
          <w:color w:val="282828"/>
        </w:rPr>
        <w:t>nt for any r</w:t>
      </w:r>
      <w:r>
        <w:rPr>
          <w:rFonts w:ascii="Times New Roman" w:cs="Times New Roman" w:eastAsia="Times New Roman" w:hAnsi="Times New Roman"/>
          <w:sz w:val="20"/>
          <w:szCs w:val="20"/>
          <w:color w:val="444444"/>
        </w:rPr>
        <w:t>e</w:t>
      </w:r>
      <w:r>
        <w:rPr>
          <w:rFonts w:ascii="Times New Roman" w:cs="Times New Roman" w:eastAsia="Times New Roman" w:hAnsi="Times New Roman"/>
          <w:sz w:val="20"/>
          <w:szCs w:val="20"/>
          <w:color w:val="282828"/>
        </w:rPr>
        <w:t>ason</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Execut</w:t>
      </w:r>
      <w:r>
        <w:rPr>
          <w:rFonts w:ascii="Times New Roman" w:cs="Times New Roman" w:eastAsia="Times New Roman" w:hAnsi="Times New Roman"/>
          <w:sz w:val="20"/>
          <w:szCs w:val="20"/>
          <w:color w:val="444444"/>
        </w:rPr>
        <w:t>i</w:t>
      </w:r>
      <w:r>
        <w:rPr>
          <w:rFonts w:ascii="Times New Roman" w:cs="Times New Roman" w:eastAsia="Times New Roman" w:hAnsi="Times New Roman"/>
          <w:sz w:val="20"/>
          <w:szCs w:val="20"/>
          <w:color w:val="282828"/>
        </w:rPr>
        <w:t>ve will not</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either directly o</w:t>
      </w:r>
      <w:r>
        <w:rPr>
          <w:rFonts w:ascii="Times New Roman" w:cs="Times New Roman" w:eastAsia="Times New Roman" w:hAnsi="Times New Roman"/>
          <w:sz w:val="20"/>
          <w:szCs w:val="20"/>
          <w:color w:val="444444"/>
        </w:rPr>
        <w:t>r</w:t>
      </w:r>
      <w:r>
        <w:rPr>
          <w:rFonts w:ascii="Times New Roman" w:cs="Times New Roman" w:eastAsia="Times New Roman" w:hAnsi="Times New Roman"/>
          <w:sz w:val="20"/>
          <w:szCs w:val="20"/>
          <w:color w:val="282828"/>
        </w:rPr>
        <w:t xml:space="preserve"> indirectly, separately or in association with others,</w:t>
      </w:r>
    </w:p>
    <w:p>
      <w:pPr>
        <w:spacing w:after="0" w:line="1" w:lineRule="exact"/>
        <w:rPr>
          <w:rFonts w:ascii="Times New Roman" w:cs="Times New Roman" w:eastAsia="Times New Roman" w:hAnsi="Times New Roman"/>
          <w:sz w:val="20"/>
          <w:szCs w:val="20"/>
          <w:color w:val="auto"/>
        </w:rPr>
      </w:pPr>
    </w:p>
    <w:p>
      <w:pPr>
        <w:jc w:val="both"/>
        <w:ind w:left="40" w:right="120"/>
        <w:spacing w:after="0" w:line="27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82828"/>
        </w:rPr>
        <w:t>(a) interfere with</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impair</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disrupt or damage Company’s business by soliciting</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encouraging or attempt</w:t>
      </w:r>
      <w:r>
        <w:rPr>
          <w:rFonts w:ascii="Times New Roman" w:cs="Times New Roman" w:eastAsia="Times New Roman" w:hAnsi="Times New Roman"/>
          <w:sz w:val="20"/>
          <w:szCs w:val="20"/>
          <w:color w:val="444444"/>
        </w:rPr>
        <w:t>i</w:t>
      </w:r>
      <w:r>
        <w:rPr>
          <w:rFonts w:ascii="Times New Roman" w:cs="Times New Roman" w:eastAsia="Times New Roman" w:hAnsi="Times New Roman"/>
          <w:sz w:val="20"/>
          <w:szCs w:val="20"/>
          <w:color w:val="282828"/>
        </w:rPr>
        <w:t>ng to hire any of Company</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s employees</w:t>
      </w:r>
      <w:r>
        <w:rPr>
          <w:rFonts w:ascii="Times New Roman" w:cs="Times New Roman" w:eastAsia="Times New Roman" w:hAnsi="Times New Roman"/>
          <w:sz w:val="20"/>
          <w:szCs w:val="20"/>
          <w:color w:val="444444"/>
        </w:rPr>
        <w:t>,</w:t>
      </w:r>
      <w:r>
        <w:rPr>
          <w:rFonts w:ascii="Times New Roman" w:cs="Times New Roman" w:eastAsia="Times New Roman" w:hAnsi="Times New Roman"/>
          <w:sz w:val="20"/>
          <w:szCs w:val="20"/>
          <w:color w:val="282828"/>
        </w:rPr>
        <w:t xml:space="preserve"> consultants or independent contractors or causing others to solici</w:t>
      </w:r>
      <w:r>
        <w:rPr>
          <w:rFonts w:ascii="Times New Roman" w:cs="Times New Roman" w:eastAsia="Times New Roman" w:hAnsi="Times New Roman"/>
          <w:sz w:val="20"/>
          <w:szCs w:val="20"/>
          <w:color w:val="444444"/>
        </w:rPr>
        <w:t>t</w:t>
      </w:r>
      <w:r>
        <w:rPr>
          <w:rFonts w:ascii="Times New Roman" w:cs="Times New Roman" w:eastAsia="Times New Roman" w:hAnsi="Times New Roman"/>
          <w:sz w:val="20"/>
          <w:szCs w:val="20"/>
          <w:color w:val="282828"/>
        </w:rPr>
        <w:t xml:space="preserve"> or encourage any of Company’</w:t>
      </w:r>
      <w:r>
        <w:rPr>
          <w:rFonts w:ascii="Times New Roman" w:cs="Times New Roman" w:eastAsia="Times New Roman" w:hAnsi="Times New Roman"/>
          <w:sz w:val="20"/>
          <w:szCs w:val="20"/>
          <w:color w:val="444444"/>
        </w:rPr>
        <w:t>s</w:t>
      </w:r>
      <w:r>
        <w:rPr>
          <w:rFonts w:ascii="Times New Roman" w:cs="Times New Roman" w:eastAsia="Times New Roman" w:hAnsi="Times New Roman"/>
          <w:sz w:val="20"/>
          <w:szCs w:val="20"/>
          <w:color w:val="282828"/>
        </w:rPr>
        <w:t xml:space="preserve"> employees, consultants or independent contractors to discontinue their employment or engagement with Company or (b) attempt to hire or employ any person employed by Company even if Executive did not initiate the discussion or seek out the contact (provided that for avoidance of doubt, any such attempt, employment or</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60"/>
          </w:cols>
          <w:pgMar w:left="400" w:top="10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40" w:right="100"/>
        <w:spacing w:after="0" w:line="277" w:lineRule="auto"/>
        <w:rPr>
          <w:sz w:val="20"/>
          <w:szCs w:val="20"/>
          <w:color w:val="auto"/>
        </w:rPr>
      </w:pPr>
      <w:r>
        <w:rPr>
          <w:rFonts w:ascii="Times New Roman" w:cs="Times New Roman" w:eastAsia="Times New Roman" w:hAnsi="Times New Roman"/>
          <w:sz w:val="20"/>
          <w:szCs w:val="20"/>
          <w:color w:val="282828"/>
        </w:rPr>
        <w:t>discussion undertaken by any new employer of Executive shall not violate this Section, unless Executive</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as an officer, director, employee, consultant, owner, partner, or in any other capacity</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either directly or through others, engage in such activity). Notwithstanding the foregoing, a general solicitation of employment in a periodical of general circulation</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a website or other social media site shall not constitute a violation of this provision</w:t>
      </w:r>
      <w:r>
        <w:rPr>
          <w:rFonts w:ascii="Times New Roman" w:cs="Times New Roman" w:eastAsia="Times New Roman" w:hAnsi="Times New Roman"/>
          <w:sz w:val="20"/>
          <w:szCs w:val="20"/>
          <w:color w:val="464646"/>
        </w:rPr>
        <w:t>.</w:t>
      </w:r>
    </w:p>
    <w:p>
      <w:pPr>
        <w:spacing w:after="0" w:line="244" w:lineRule="exact"/>
        <w:rPr>
          <w:sz w:val="20"/>
          <w:szCs w:val="20"/>
          <w:color w:val="auto"/>
        </w:rPr>
      </w:pPr>
    </w:p>
    <w:p>
      <w:pPr>
        <w:jc w:val="both"/>
        <w:ind w:left="40" w:right="100" w:hanging="4"/>
        <w:spacing w:after="0" w:line="274" w:lineRule="auto"/>
        <w:tabs>
          <w:tab w:leader="none" w:pos="57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Intellectual Property</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It is expressly understood that all of the trademarks, service marks, trade names, domain names, patents,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copyrights, inventions, processes and applications therefore (whether registered or common law)</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systems, methods</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business plans, strategic models, procedures, written materials and controls (“</w:t>
      </w:r>
      <w:r>
        <w:rPr>
          <w:rFonts w:ascii="Times New Roman" w:cs="Times New Roman" w:eastAsia="Times New Roman" w:hAnsi="Times New Roman"/>
          <w:sz w:val="20"/>
          <w:szCs w:val="20"/>
          <w:b w:val="1"/>
          <w:bCs w:val="1"/>
          <w:color w:val="282828"/>
        </w:rPr>
        <w:t>Intellectual Property</w:t>
      </w:r>
      <w:r>
        <w:rPr>
          <w:rFonts w:ascii="Times New Roman" w:cs="Times New Roman" w:eastAsia="Times New Roman" w:hAnsi="Times New Roman"/>
          <w:sz w:val="20"/>
          <w:szCs w:val="20"/>
          <w:color w:val="282828"/>
        </w:rPr>
        <w:t>”) owned, contributed and/or developed by Executive or his designee in the performance of this Agreement with Company, including all modifications, derivatives, or combinations thereof (“</w:t>
      </w:r>
      <w:r>
        <w:rPr>
          <w:rFonts w:ascii="Times New Roman" w:cs="Times New Roman" w:eastAsia="Times New Roman" w:hAnsi="Times New Roman"/>
          <w:sz w:val="20"/>
          <w:szCs w:val="20"/>
          <w:b w:val="1"/>
          <w:bCs w:val="1"/>
          <w:color w:val="282828"/>
        </w:rPr>
        <w:t>Proprietary Information</w:t>
      </w:r>
      <w:r>
        <w:rPr>
          <w:rFonts w:ascii="Times New Roman" w:cs="Times New Roman" w:eastAsia="Times New Roman" w:hAnsi="Times New Roman"/>
          <w:sz w:val="20"/>
          <w:szCs w:val="20"/>
          <w:color w:val="282828"/>
        </w:rPr>
        <w:t>”) are proprietary in nature and shall remain the property of Company. Accordingly, Company shall retain all rights</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title</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and interest to the Proprietary Information</w:t>
      </w:r>
      <w:r>
        <w:rPr>
          <w:rFonts w:ascii="Times New Roman" w:cs="Times New Roman" w:eastAsia="Times New Roman" w:hAnsi="Times New Roman"/>
          <w:sz w:val="20"/>
          <w:szCs w:val="20"/>
          <w:color w:val="555558"/>
        </w:rPr>
        <w:t>.</w:t>
      </w:r>
      <w:r>
        <w:rPr>
          <w:rFonts w:ascii="Times New Roman" w:cs="Times New Roman" w:eastAsia="Times New Roman" w:hAnsi="Times New Roman"/>
          <w:sz w:val="20"/>
          <w:szCs w:val="20"/>
          <w:color w:val="282828"/>
        </w:rPr>
        <w:t xml:space="preserve"> The Proprietary Information shall not at any time be utilized</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distributed</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copied or otherwise acquired or used by Executive outside the normal course of his work with Company. This Intellectual Property provision shall survive indefinitely the termination of this Agreement for any reason whatsoever.</w:t>
      </w:r>
    </w:p>
    <w:p>
      <w:pPr>
        <w:spacing w:after="0" w:line="194" w:lineRule="exact"/>
        <w:rPr>
          <w:rFonts w:ascii="Times New Roman" w:cs="Times New Roman" w:eastAsia="Times New Roman" w:hAnsi="Times New Roman"/>
          <w:sz w:val="20"/>
          <w:szCs w:val="20"/>
          <w:color w:val="auto"/>
        </w:rPr>
      </w:pPr>
    </w:p>
    <w:p>
      <w:pPr>
        <w:jc w:val="both"/>
        <w:ind w:left="40" w:right="100" w:hanging="4"/>
        <w:spacing w:after="0" w:line="273" w:lineRule="auto"/>
        <w:tabs>
          <w:tab w:leader="none" w:pos="56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Confidentiality</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agrees to use best efforts to prevent the unauthorized use, disclosure, or availability of any confidential</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information of Company (“</w:t>
      </w:r>
      <w:r>
        <w:rPr>
          <w:rFonts w:ascii="Times New Roman" w:cs="Times New Roman" w:eastAsia="Times New Roman" w:hAnsi="Times New Roman"/>
          <w:sz w:val="20"/>
          <w:szCs w:val="20"/>
          <w:b w:val="1"/>
          <w:bCs w:val="1"/>
          <w:color w:val="282828"/>
        </w:rPr>
        <w:t>Confidential Information</w:t>
      </w:r>
      <w:r>
        <w:rPr>
          <w:rFonts w:ascii="Times New Roman" w:cs="Times New Roman" w:eastAsia="Times New Roman" w:hAnsi="Times New Roman"/>
          <w:sz w:val="20"/>
          <w:szCs w:val="20"/>
          <w:color w:val="282828"/>
        </w:rPr>
        <w:t>”), which shall be defined to include all financial</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operational, technical and other information</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including all copies thereof (including</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without limitation, all agreements, financial statements, compensation information, files, books</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logs, charts</w:t>
      </w:r>
      <w:r>
        <w:rPr>
          <w:rFonts w:ascii="Times New Roman" w:cs="Times New Roman" w:eastAsia="Times New Roman" w:hAnsi="Times New Roman"/>
          <w:sz w:val="20"/>
          <w:szCs w:val="20"/>
          <w:color w:val="555558"/>
        </w:rPr>
        <w:t>,</w:t>
      </w:r>
      <w:r>
        <w:rPr>
          <w:rFonts w:ascii="Times New Roman" w:cs="Times New Roman" w:eastAsia="Times New Roman" w:hAnsi="Times New Roman"/>
          <w:sz w:val="20"/>
          <w:szCs w:val="20"/>
          <w:color w:val="282828"/>
        </w:rPr>
        <w:t xml:space="preserve"> records</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studies, reports, surveys</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schedules, plans, maps, statistical information</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client and prospective client information, and client and prospective client lists) which may be furnished or disclosed to Executive. Such term shall also include all memoranda</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notes, reports, documents</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and other media containing Confidential Information</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as well as any copies and extracts of Confidential Information and any computer</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generated emails, files</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studies and data containing Confidential Information prepared by or for the benefit of Company. For the sake of clarity, the terms and conditions of this Agreement shall be deemed Confidential Information of Company. Executive shall also notify Company immediately upon a discovery of any loss or compromise of Company's Confidential Information. The obligations set forth in this Section 13 shall survive indefinitely the termination of this Agreement for any reason whatsoever, and upon termination Executive shall return to Company all copies of any media or materials containing Confidential Information</w:t>
      </w:r>
      <w:r>
        <w:rPr>
          <w:rFonts w:ascii="Times New Roman" w:cs="Times New Roman" w:eastAsia="Times New Roman" w:hAnsi="Times New Roman"/>
          <w:sz w:val="20"/>
          <w:szCs w:val="20"/>
          <w:color w:val="464646"/>
        </w:rPr>
        <w:t>.</w:t>
      </w:r>
    </w:p>
    <w:p>
      <w:pPr>
        <w:spacing w:after="0" w:line="240" w:lineRule="exact"/>
        <w:rPr>
          <w:sz w:val="20"/>
          <w:szCs w:val="20"/>
          <w:color w:val="auto"/>
        </w:rPr>
      </w:pPr>
    </w:p>
    <w:p>
      <w:pPr>
        <w:jc w:val="both"/>
        <w:ind w:left="40" w:right="100" w:firstLine="971"/>
        <w:spacing w:after="0" w:line="275" w:lineRule="auto"/>
        <w:rPr>
          <w:sz w:val="20"/>
          <w:szCs w:val="20"/>
          <w:color w:val="auto"/>
        </w:rPr>
      </w:pPr>
      <w:r>
        <w:rPr>
          <w:rFonts w:ascii="Times New Roman" w:cs="Times New Roman" w:eastAsia="Times New Roman" w:hAnsi="Times New Roman"/>
          <w:sz w:val="20"/>
          <w:szCs w:val="20"/>
          <w:color w:val="282828"/>
        </w:rPr>
        <w:t>Notwithstanding anything in this Agreement to the contrary, (a) the terms Proprietary Information and Confidential Information shall not include any information that (i) is or becomes public knowledge through no wrongful act of Executive; (ii) is and can be shown to be independently developed by Executive without use of information obtained under this Agreement; (iii) becomes lawfully available to Executive from a source other than Company; or (iv) was and can be shown to be in Executive’s possession or was known to Executive prior to receipt from Company, and (b) disclosure of Proprietary Information and/or Confidential Information by Executive is not precluded if such disclosure (i) is in response to a valid order of a court or other governmental body of the United States or any political subdivision thereof; provided that Executive must first give prompt notice to Company so that Company may seek a protective order or other appropriate remedy and</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if Executive is ultimately required to make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60"/>
          </w:cols>
          <w:pgMar w:left="400" w:top="10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40" w:right="100"/>
        <w:spacing w:after="0" w:line="297" w:lineRule="auto"/>
        <w:rPr>
          <w:sz w:val="20"/>
          <w:szCs w:val="20"/>
          <w:color w:val="auto"/>
        </w:rPr>
      </w:pPr>
      <w:r>
        <w:rPr>
          <w:rFonts w:ascii="Times New Roman" w:cs="Times New Roman" w:eastAsia="Times New Roman" w:hAnsi="Times New Roman"/>
          <w:sz w:val="20"/>
          <w:szCs w:val="20"/>
          <w:color w:val="282828"/>
        </w:rPr>
        <w:t>such disclosure, Executive will have made a reasonable effort, at the cost of Company, to obtain a protective order requiring that the Proprietary Information or Confidential Information so disclosed be</w:t>
      </w:r>
    </w:p>
    <w:p>
      <w:pPr>
        <w:spacing w:after="0" w:line="200" w:lineRule="exact"/>
        <w:rPr>
          <w:sz w:val="20"/>
          <w:szCs w:val="20"/>
          <w:color w:val="auto"/>
        </w:rPr>
      </w:pPr>
    </w:p>
    <w:p>
      <w:pPr>
        <w:spacing w:after="0" w:line="311" w:lineRule="exact"/>
        <w:rPr>
          <w:sz w:val="20"/>
          <w:szCs w:val="20"/>
          <w:color w:val="auto"/>
        </w:rPr>
      </w:pPr>
    </w:p>
    <w:p>
      <w:pPr>
        <w:jc w:val="both"/>
        <w:ind w:left="40" w:right="120"/>
        <w:spacing w:after="0" w:line="282" w:lineRule="auto"/>
        <w:rPr>
          <w:sz w:val="20"/>
          <w:szCs w:val="20"/>
          <w:color w:val="auto"/>
        </w:rPr>
      </w:pPr>
      <w:r>
        <w:rPr>
          <w:rFonts w:ascii="Times New Roman" w:cs="Times New Roman" w:eastAsia="Times New Roman" w:hAnsi="Times New Roman"/>
          <w:sz w:val="20"/>
          <w:szCs w:val="20"/>
          <w:color w:val="282828"/>
        </w:rPr>
        <w:t>used only for the purposes for which the order was issued; (ii) is otherwise required by law in the opinion of counsel for Executive, provided that Executive must first give reasonable advance notice of such disclosure to Company, or (iii) is consented to in advance by Company.</w:t>
      </w:r>
    </w:p>
    <w:p>
      <w:pPr>
        <w:spacing w:after="0" w:line="238" w:lineRule="exact"/>
        <w:rPr>
          <w:sz w:val="20"/>
          <w:szCs w:val="20"/>
          <w:color w:val="auto"/>
        </w:rPr>
      </w:pPr>
    </w:p>
    <w:p>
      <w:pPr>
        <w:jc w:val="both"/>
        <w:ind w:left="40" w:right="100" w:hanging="4"/>
        <w:spacing w:after="0" w:line="289" w:lineRule="auto"/>
        <w:tabs>
          <w:tab w:leader="none" w:pos="57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282828"/>
        </w:rPr>
        <w:t>Return of Company Property</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Executive acknowledges that all Proprietary Information and Confidential Information (including,</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without limitation, documents, drawings, models, apparatus, sketches, designs, lists, and all other tangible media of expression) furnished to Executive by Company or created by Executive pursuant to the terms of this Agreement shall remain the property of Company. On termination of this Agreement with Company for whatever reason, or at the request of Company before termination</w:t>
      </w:r>
      <w:r>
        <w:rPr>
          <w:rFonts w:ascii="Times New Roman" w:cs="Times New Roman" w:eastAsia="Times New Roman" w:hAnsi="Times New Roman"/>
          <w:sz w:val="19"/>
          <w:szCs w:val="19"/>
          <w:color w:val="464646"/>
        </w:rPr>
        <w:t>,</w:t>
      </w:r>
      <w:r>
        <w:rPr>
          <w:rFonts w:ascii="Times New Roman" w:cs="Times New Roman" w:eastAsia="Times New Roman" w:hAnsi="Times New Roman"/>
          <w:sz w:val="19"/>
          <w:szCs w:val="19"/>
          <w:color w:val="282828"/>
        </w:rPr>
        <w:t xml:space="preserve"> Executive agrees to promptly deliver to Company all records</w:t>
      </w:r>
      <w:r>
        <w:rPr>
          <w:rFonts w:ascii="Times New Roman" w:cs="Times New Roman" w:eastAsia="Times New Roman" w:hAnsi="Times New Roman"/>
          <w:sz w:val="19"/>
          <w:szCs w:val="19"/>
          <w:color w:val="464646"/>
        </w:rPr>
        <w:t>,</w:t>
      </w:r>
      <w:r>
        <w:rPr>
          <w:rFonts w:ascii="Times New Roman" w:cs="Times New Roman" w:eastAsia="Times New Roman" w:hAnsi="Times New Roman"/>
          <w:sz w:val="19"/>
          <w:szCs w:val="19"/>
          <w:color w:val="282828"/>
        </w:rPr>
        <w:t xml:space="preserve"> files</w:t>
      </w:r>
      <w:r>
        <w:rPr>
          <w:rFonts w:ascii="Times New Roman" w:cs="Times New Roman" w:eastAsia="Times New Roman" w:hAnsi="Times New Roman"/>
          <w:sz w:val="19"/>
          <w:szCs w:val="19"/>
          <w:color w:val="464646"/>
        </w:rPr>
        <w:t>,</w:t>
      </w:r>
      <w:r>
        <w:rPr>
          <w:rFonts w:ascii="Times New Roman" w:cs="Times New Roman" w:eastAsia="Times New Roman" w:hAnsi="Times New Roman"/>
          <w:sz w:val="19"/>
          <w:szCs w:val="19"/>
          <w:color w:val="282828"/>
        </w:rPr>
        <w:t xml:space="preserve"> computer disks, memoranda, documents, lists, materials and other information regarding or containing any Confidential Information or Proprietary Information, including all copies, reproductions, summaries or excerpts thereof, then in Executive’s possession or control</w:t>
      </w:r>
      <w:r>
        <w:rPr>
          <w:rFonts w:ascii="Times New Roman" w:cs="Times New Roman" w:eastAsia="Times New Roman" w:hAnsi="Times New Roman"/>
          <w:sz w:val="19"/>
          <w:szCs w:val="19"/>
          <w:color w:val="464646"/>
        </w:rPr>
        <w:t>,</w:t>
      </w:r>
      <w:r>
        <w:rPr>
          <w:rFonts w:ascii="Times New Roman" w:cs="Times New Roman" w:eastAsia="Times New Roman" w:hAnsi="Times New Roman"/>
          <w:sz w:val="19"/>
          <w:szCs w:val="19"/>
          <w:color w:val="282828"/>
        </w:rPr>
        <w:t xml:space="preserve"> whether prepared by Executive or others</w:t>
      </w:r>
      <w:r>
        <w:rPr>
          <w:rFonts w:ascii="Times New Roman" w:cs="Times New Roman" w:eastAsia="Times New Roman" w:hAnsi="Times New Roman"/>
          <w:sz w:val="19"/>
          <w:szCs w:val="19"/>
          <w:color w:val="464646"/>
        </w:rPr>
        <w:t>.</w:t>
      </w:r>
      <w:r>
        <w:rPr>
          <w:rFonts w:ascii="Times New Roman" w:cs="Times New Roman" w:eastAsia="Times New Roman" w:hAnsi="Times New Roman"/>
          <w:sz w:val="19"/>
          <w:szCs w:val="19"/>
          <w:color w:val="282828"/>
        </w:rPr>
        <w:t xml:space="preserve"> Executive also agrees to promptly return, upon termination or at any time upon Company's request, any and all Company property issued to Executive, including but not limited to computers, facsimile transmission equipment, cellular phones, keys and credits cards. Executive further agrees that should Executive discover any Company property or Confidential Information or Proprietary Information in Executive’s possession after termination of this Agreement, Executive agrees to return it promptly to Company without retaining copies or excerpts of any kind</w:t>
      </w:r>
      <w:r>
        <w:rPr>
          <w:rFonts w:ascii="Times New Roman" w:cs="Times New Roman" w:eastAsia="Times New Roman" w:hAnsi="Times New Roman"/>
          <w:sz w:val="19"/>
          <w:szCs w:val="19"/>
          <w:color w:val="464646"/>
        </w:rPr>
        <w:t>.</w:t>
      </w:r>
    </w:p>
    <w:p>
      <w:pPr>
        <w:spacing w:after="0" w:line="224" w:lineRule="exact"/>
        <w:rPr>
          <w:rFonts w:ascii="Times New Roman" w:cs="Times New Roman" w:eastAsia="Times New Roman" w:hAnsi="Times New Roman"/>
          <w:sz w:val="19"/>
          <w:szCs w:val="19"/>
          <w:color w:val="auto"/>
        </w:rPr>
      </w:pPr>
    </w:p>
    <w:p>
      <w:pPr>
        <w:jc w:val="both"/>
        <w:ind w:left="40" w:right="100" w:hanging="4"/>
        <w:spacing w:after="0" w:line="283" w:lineRule="auto"/>
        <w:tabs>
          <w:tab w:leader="none" w:pos="57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Exclusive Services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agrees that he will devote his entire working time, attention</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and energies to the business of the</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Company and shall not</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directly or indirectly, either individually or as an officer, partner, consultant, owner</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employee, agent, stockholder of greate</w:t>
      </w:r>
      <w:r>
        <w:rPr>
          <w:rFonts w:ascii="Times New Roman" w:cs="Times New Roman" w:eastAsia="Times New Roman" w:hAnsi="Times New Roman"/>
          <w:sz w:val="20"/>
          <w:szCs w:val="20"/>
          <w:color w:val="464646"/>
        </w:rPr>
        <w:t>r</w:t>
      </w:r>
      <w:r>
        <w:rPr>
          <w:rFonts w:ascii="Times New Roman" w:cs="Times New Roman" w:eastAsia="Times New Roman" w:hAnsi="Times New Roman"/>
          <w:sz w:val="20"/>
          <w:szCs w:val="20"/>
          <w:color w:val="282828"/>
        </w:rPr>
        <w:t xml:space="preserve"> than 5%</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or in any other capacity engage in any other business activity outside of the Company (except as an outside board member) without the express written permission of the Company’s CEO.</w:t>
      </w:r>
    </w:p>
    <w:p>
      <w:pPr>
        <w:spacing w:after="0" w:line="197" w:lineRule="exact"/>
        <w:rPr>
          <w:rFonts w:ascii="Times New Roman" w:cs="Times New Roman" w:eastAsia="Times New Roman" w:hAnsi="Times New Roman"/>
          <w:sz w:val="20"/>
          <w:szCs w:val="20"/>
          <w:color w:val="auto"/>
        </w:rPr>
      </w:pPr>
    </w:p>
    <w:p>
      <w:pPr>
        <w:jc w:val="both"/>
        <w:ind w:left="40" w:right="100" w:hanging="4"/>
        <w:spacing w:after="0" w:line="278" w:lineRule="auto"/>
        <w:tabs>
          <w:tab w:leader="none" w:pos="57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Business Opportunities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acknowledges that in the performance of this Agreement</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may become aware of new</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or expanded business opportunities reasonably related to the business of Company that Company may be reasonably interested in evaluating or pursuing. Executive agrees that he shall promptly disclose, in writing, to the CEO any business opportunities reasonably related to the business of Company that he reasonably believes Company might reasonably consider evaluating or pursuing.</w:t>
      </w:r>
    </w:p>
    <w:p>
      <w:pPr>
        <w:spacing w:after="0" w:line="216" w:lineRule="exact"/>
        <w:rPr>
          <w:rFonts w:ascii="Times New Roman" w:cs="Times New Roman" w:eastAsia="Times New Roman" w:hAnsi="Times New Roman"/>
          <w:sz w:val="20"/>
          <w:szCs w:val="20"/>
          <w:color w:val="auto"/>
        </w:rPr>
      </w:pPr>
    </w:p>
    <w:p>
      <w:pPr>
        <w:jc w:val="both"/>
        <w:ind w:left="40" w:right="120" w:hanging="4"/>
        <w:spacing w:after="0" w:line="284" w:lineRule="auto"/>
        <w:tabs>
          <w:tab w:leader="none" w:pos="57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Severability</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In case any one or more of the provisions contained in this Agreement or any application thereof shall be declared, by</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 court having jurisdiction</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invalid</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illegal, or unenforceable in any respect, the validity, legality</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82828"/>
        </w:rPr>
        <w:t xml:space="preserve"> and enforceability of the remaining provisions contained herein and any other application thereof shall not in any way be affected or impaired thereby.</w:t>
      </w:r>
    </w:p>
    <w:p>
      <w:pPr>
        <w:spacing w:after="0" w:line="182" w:lineRule="exact"/>
        <w:rPr>
          <w:rFonts w:ascii="Times New Roman" w:cs="Times New Roman" w:eastAsia="Times New Roman" w:hAnsi="Times New Roman"/>
          <w:sz w:val="20"/>
          <w:szCs w:val="20"/>
          <w:color w:val="auto"/>
        </w:rPr>
      </w:pPr>
    </w:p>
    <w:p>
      <w:pPr>
        <w:ind w:left="40" w:right="120" w:hanging="4"/>
        <w:spacing w:after="0" w:line="301" w:lineRule="auto"/>
        <w:tabs>
          <w:tab w:leader="none" w:pos="57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Governing Law</w:t>
      </w:r>
      <w:r>
        <w:rPr>
          <w:rFonts w:ascii="Times New Roman" w:cs="Times New Roman" w:eastAsia="Times New Roman" w:hAnsi="Times New Roman"/>
          <w:sz w:val="20"/>
          <w:szCs w:val="20"/>
          <w:b w:val="1"/>
          <w:bCs w:val="1"/>
          <w:color w:val="464646"/>
        </w:rPr>
        <w: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This Agreement shall be governed in all respects by the laws of the United States o</w:t>
      </w:r>
      <w:r>
        <w:rPr>
          <w:rFonts w:ascii="Times New Roman" w:cs="Times New Roman" w:eastAsia="Times New Roman" w:hAnsi="Times New Roman"/>
          <w:sz w:val="20"/>
          <w:szCs w:val="20"/>
          <w:color w:val="464646"/>
        </w:rPr>
        <w:t>f</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America and by the laws of</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the State of Delaware.</w:t>
      </w:r>
    </w:p>
    <w:p>
      <w:pPr>
        <w:spacing w:after="0" w:line="165" w:lineRule="exact"/>
        <w:rPr>
          <w:rFonts w:ascii="Times New Roman" w:cs="Times New Roman" w:eastAsia="Times New Roman" w:hAnsi="Times New Roman"/>
          <w:sz w:val="20"/>
          <w:szCs w:val="20"/>
          <w:color w:val="auto"/>
        </w:rPr>
      </w:pPr>
    </w:p>
    <w:p>
      <w:pPr>
        <w:ind w:left="40" w:right="100" w:hanging="4"/>
        <w:spacing w:after="0" w:line="301" w:lineRule="auto"/>
        <w:tabs>
          <w:tab w:leader="none" w:pos="57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Limit of Liability</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Neither Company nor Executive shall have any liability for consequential</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special or punitive damages related</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to the performance of this Agreement or any breach thereof</w:t>
      </w:r>
      <w:r>
        <w:rPr>
          <w:rFonts w:ascii="Times New Roman" w:cs="Times New Roman" w:eastAsia="Times New Roman" w:hAnsi="Times New Roman"/>
          <w:sz w:val="20"/>
          <w:szCs w:val="20"/>
          <w:color w:val="464646"/>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60"/>
          </w:cols>
          <w:pgMar w:left="400" w:top="10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0" w:hanging="964"/>
        <w:spacing w:after="0"/>
        <w:tabs>
          <w:tab w:leader="none" w:pos="10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Compliance</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Executive hereby acknowledges and agrees to abide by Company’s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60"/>
          </w:cols>
          <w:pgMar w:left="400" w:top="10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0" w:right="100"/>
        <w:spacing w:after="0" w:line="276" w:lineRule="auto"/>
        <w:rPr>
          <w:sz w:val="20"/>
          <w:szCs w:val="20"/>
          <w:color w:val="auto"/>
        </w:rPr>
      </w:pPr>
      <w:r>
        <w:rPr>
          <w:rFonts w:ascii="Times New Roman" w:cs="Times New Roman" w:eastAsia="Times New Roman" w:hAnsi="Times New Roman"/>
          <w:sz w:val="20"/>
          <w:szCs w:val="20"/>
          <w:color w:val="282828"/>
        </w:rPr>
        <w:t>compliance program and applicable compliance policies and, to the extent that Executive becomes aware of a compliance concern potentially affecting Company</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Executive shall bring such compliance concern to the attention of Company’s Compliance Officer in a timely manner before discussing such concerns with any third party. Executive during his employment and afterwards shall, at the request of Company</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render all assistance and perform all lawful acts that Company considers necessary or advisable in connection with any investigation o</w:t>
      </w:r>
      <w:r>
        <w:rPr>
          <w:rFonts w:ascii="Times New Roman" w:cs="Times New Roman" w:eastAsia="Times New Roman" w:hAnsi="Times New Roman"/>
          <w:sz w:val="20"/>
          <w:szCs w:val="20"/>
          <w:color w:val="424244"/>
        </w:rPr>
        <w:t>r</w:t>
      </w:r>
      <w:r>
        <w:rPr>
          <w:rFonts w:ascii="Times New Roman" w:cs="Times New Roman" w:eastAsia="Times New Roman" w:hAnsi="Times New Roman"/>
          <w:sz w:val="20"/>
          <w:szCs w:val="20"/>
          <w:color w:val="282828"/>
        </w:rPr>
        <w:t xml:space="preserve"> litigation involving Company or any director, officer, employee, shareholder, agent</w:t>
      </w:r>
      <w:r>
        <w:rPr>
          <w:rFonts w:ascii="Times New Roman" w:cs="Times New Roman" w:eastAsia="Times New Roman" w:hAnsi="Times New Roman"/>
          <w:sz w:val="20"/>
          <w:szCs w:val="20"/>
          <w:color w:val="565658"/>
        </w:rPr>
        <w:t>,</w:t>
      </w:r>
      <w:r>
        <w:rPr>
          <w:rFonts w:ascii="Times New Roman" w:cs="Times New Roman" w:eastAsia="Times New Roman" w:hAnsi="Times New Roman"/>
          <w:sz w:val="20"/>
          <w:szCs w:val="20"/>
          <w:color w:val="282828"/>
        </w:rPr>
        <w:t xml:space="preserve"> representative, consultant, client, or vendor of Company.</w:t>
      </w:r>
    </w:p>
    <w:p>
      <w:pPr>
        <w:spacing w:after="0" w:line="205" w:lineRule="exact"/>
        <w:rPr>
          <w:sz w:val="20"/>
          <w:szCs w:val="20"/>
          <w:color w:val="auto"/>
        </w:rPr>
      </w:pPr>
    </w:p>
    <w:p>
      <w:pPr>
        <w:jc w:val="both"/>
        <w:ind w:left="40" w:right="100" w:hanging="4"/>
        <w:spacing w:after="0" w:line="286" w:lineRule="auto"/>
        <w:tabs>
          <w:tab w:leader="none" w:pos="571"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282828"/>
        </w:rPr>
        <w:t>Nondisparagement</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During the term of Executive’s employment with Company and at all times thereafter, Company and</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Executive shall not make any public or private statements (whether orally, in writing</w:t>
      </w:r>
      <w:r>
        <w:rPr>
          <w:rFonts w:ascii="Times New Roman" w:cs="Times New Roman" w:eastAsia="Times New Roman" w:hAnsi="Times New Roman"/>
          <w:sz w:val="19"/>
          <w:szCs w:val="19"/>
          <w:color w:val="565658"/>
        </w:rPr>
        <w:t>,</w:t>
      </w:r>
      <w:r>
        <w:rPr>
          <w:rFonts w:ascii="Times New Roman" w:cs="Times New Roman" w:eastAsia="Times New Roman" w:hAnsi="Times New Roman"/>
          <w:sz w:val="19"/>
          <w:szCs w:val="19"/>
          <w:color w:val="282828"/>
        </w:rPr>
        <w:t xml:space="preserve"> via electronic transmission</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or otherwise) that disparages</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denigrates or maligns Company or any of its businesses</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activities</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operations, affairs, reputations or prospects; or any of its officers, employees, directors</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managers, partners (general and limited)</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agents</w:t>
      </w:r>
      <w:r>
        <w:rPr>
          <w:rFonts w:ascii="Times New Roman" w:cs="Times New Roman" w:eastAsia="Times New Roman" w:hAnsi="Times New Roman"/>
          <w:sz w:val="19"/>
          <w:szCs w:val="19"/>
          <w:color w:val="424244"/>
        </w:rPr>
        <w:t>,</w:t>
      </w:r>
      <w:r>
        <w:rPr>
          <w:rFonts w:ascii="Times New Roman" w:cs="Times New Roman" w:eastAsia="Times New Roman" w:hAnsi="Times New Roman"/>
          <w:sz w:val="19"/>
          <w:szCs w:val="19"/>
          <w:color w:val="282828"/>
        </w:rPr>
        <w:t xml:space="preserve"> members or shareholders. No obligation under this </w:t>
      </w:r>
      <w:r>
        <w:rPr>
          <w:rFonts w:ascii="Times New Roman" w:cs="Times New Roman" w:eastAsia="Times New Roman" w:hAnsi="Times New Roman"/>
          <w:sz w:val="19"/>
          <w:szCs w:val="19"/>
          <w:u w:val="single" w:color="auto"/>
          <w:color w:val="282828"/>
        </w:rPr>
        <w:t>Section</w:t>
      </w:r>
    </w:p>
    <w:p>
      <w:pPr>
        <w:spacing w:after="0" w:line="2" w:lineRule="exact"/>
        <w:rPr>
          <w:rFonts w:ascii="Times New Roman" w:cs="Times New Roman" w:eastAsia="Times New Roman" w:hAnsi="Times New Roman"/>
          <w:sz w:val="19"/>
          <w:szCs w:val="19"/>
          <w:color w:val="auto"/>
        </w:rPr>
      </w:pPr>
    </w:p>
    <w:p>
      <w:pPr>
        <w:jc w:val="both"/>
        <w:ind w:left="40" w:right="100" w:hanging="4"/>
        <w:spacing w:after="0" w:line="282" w:lineRule="auto"/>
        <w:tabs>
          <w:tab w:leader="none" w:pos="290" w:val="left"/>
        </w:tabs>
        <w:numPr>
          <w:ilvl w:val="0"/>
          <w:numId w:val="82"/>
        </w:numPr>
        <w:rPr>
          <w:rFonts w:ascii="Times New Roman" w:cs="Times New Roman" w:eastAsia="Times New Roman" w:hAnsi="Times New Roman"/>
          <w:sz w:val="20"/>
          <w:szCs w:val="20"/>
          <w:u w:val="single" w:color="auto"/>
          <w:color w:val="282828"/>
        </w:rPr>
      </w:pPr>
      <w:r>
        <w:rPr>
          <w:rFonts w:ascii="Times New Roman" w:cs="Times New Roman" w:eastAsia="Times New Roman" w:hAnsi="Times New Roman"/>
          <w:sz w:val="20"/>
          <w:szCs w:val="20"/>
          <w:color w:val="282828"/>
        </w:rPr>
        <w:t>or this Agreement shall be violated by truthful statements made by such person or entity (a) to any governmental authority or (b) which are in response to legal process, required governmental testimony or filings, or administrative or arbitral proceedings (including</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without limitation</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depositions in connection with such proceedings).</w:t>
      </w:r>
    </w:p>
    <w:p>
      <w:pPr>
        <w:spacing w:after="0" w:line="184" w:lineRule="exact"/>
        <w:rPr>
          <w:rFonts w:ascii="Times New Roman" w:cs="Times New Roman" w:eastAsia="Times New Roman" w:hAnsi="Times New Roman"/>
          <w:sz w:val="20"/>
          <w:szCs w:val="20"/>
          <w:u w:val="single" w:color="auto"/>
          <w:color w:val="282828"/>
        </w:rPr>
      </w:pPr>
    </w:p>
    <w:p>
      <w:pPr>
        <w:jc w:val="both"/>
        <w:ind w:left="40" w:right="120" w:hanging="4"/>
        <w:spacing w:after="0" w:line="283" w:lineRule="auto"/>
        <w:tabs>
          <w:tab w:leader="none" w:pos="57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Insurance Coverage</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During the term of Executive’s employment with Company, Company shall provide for Executive to be</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 xml:space="preserve">covered under any directors and officer’s liability or similar policy (including any employment practices or fiduciary policy) at the level at which Company's most senior active officers are covered. Executive's rights under this </w:t>
      </w:r>
      <w:r>
        <w:rPr>
          <w:rFonts w:ascii="Times New Roman" w:cs="Times New Roman" w:eastAsia="Times New Roman" w:hAnsi="Times New Roman"/>
          <w:sz w:val="20"/>
          <w:szCs w:val="20"/>
          <w:u w:val="single" w:color="auto"/>
          <w:color w:val="282828"/>
        </w:rPr>
        <w:t>Section 22</w:t>
      </w:r>
      <w:r>
        <w:rPr>
          <w:rFonts w:ascii="Times New Roman" w:cs="Times New Roman" w:eastAsia="Times New Roman" w:hAnsi="Times New Roman"/>
          <w:sz w:val="20"/>
          <w:szCs w:val="20"/>
          <w:color w:val="282828"/>
        </w:rPr>
        <w:t xml:space="preserve"> shall be in addition to, and not in lieu of, any insurance coverage Executive may have under Company’s governing instruments or otherwise.</w:t>
      </w:r>
    </w:p>
    <w:p>
      <w:pPr>
        <w:spacing w:after="0" w:line="197" w:lineRule="exact"/>
        <w:rPr>
          <w:rFonts w:ascii="Times New Roman" w:cs="Times New Roman" w:eastAsia="Times New Roman" w:hAnsi="Times New Roman"/>
          <w:sz w:val="20"/>
          <w:szCs w:val="20"/>
          <w:color w:val="auto"/>
        </w:rPr>
      </w:pPr>
    </w:p>
    <w:p>
      <w:pPr>
        <w:jc w:val="both"/>
        <w:ind w:left="40" w:right="120" w:hanging="4"/>
        <w:spacing w:after="0" w:line="277" w:lineRule="auto"/>
        <w:tabs>
          <w:tab w:leader="none" w:pos="571" w:val="left"/>
        </w:tabs>
        <w:numPr>
          <w:ilvl w:val="0"/>
          <w:numId w:val="83"/>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82828"/>
        </w:rPr>
        <w:t>This Agreement is intended to comply with, or otherwise be exempt from, Section 409A of the Internal Revenue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82828"/>
        </w:rPr>
        <w:t>Code of 1986, as amended (the “</w:t>
      </w:r>
      <w:r>
        <w:rPr>
          <w:rFonts w:ascii="Times New Roman" w:cs="Times New Roman" w:eastAsia="Times New Roman" w:hAnsi="Times New Roman"/>
          <w:sz w:val="20"/>
          <w:szCs w:val="20"/>
          <w:b w:val="1"/>
          <w:bCs w:val="1"/>
          <w:color w:val="282828"/>
        </w:rPr>
        <w:t>Code</w:t>
      </w:r>
      <w:r>
        <w:rPr>
          <w:rFonts w:ascii="Times New Roman" w:cs="Times New Roman" w:eastAsia="Times New Roman" w:hAnsi="Times New Roman"/>
          <w:sz w:val="20"/>
          <w:szCs w:val="20"/>
          <w:color w:val="282828"/>
        </w:rPr>
        <w:t>”) and any regulations and Treasury guidance promulgated thereunder (“</w:t>
      </w:r>
      <w:r>
        <w:rPr>
          <w:rFonts w:ascii="Times New Roman" w:cs="Times New Roman" w:eastAsia="Times New Roman" w:hAnsi="Times New Roman"/>
          <w:sz w:val="20"/>
          <w:szCs w:val="20"/>
          <w:b w:val="1"/>
          <w:bCs w:val="1"/>
          <w:color w:val="282828"/>
        </w:rPr>
        <w:t>Section 409A</w:t>
      </w:r>
      <w:r>
        <w:rPr>
          <w:rFonts w:ascii="Times New Roman" w:cs="Times New Roman" w:eastAsia="Times New Roman" w:hAnsi="Times New Roman"/>
          <w:sz w:val="20"/>
          <w:szCs w:val="20"/>
          <w:color w:val="282828"/>
        </w:rPr>
        <w:t>”). To the extent that any provision in this Agreement is ambiguous as to its compliance with Section 409A, the provision shall be read in such a manner so that no payments due under this Agreement shall be subject to an additional tax pursuant to Section 409A. Except as otherwise permitted under Section 409A, no payment under this Agreement shall be accelerated or deferred unless such acceleration or deferral would not result in additional tax or interest pursuant to Section 409A.</w:t>
      </w:r>
    </w:p>
    <w:p>
      <w:pPr>
        <w:spacing w:after="0" w:line="234" w:lineRule="exact"/>
        <w:rPr>
          <w:sz w:val="20"/>
          <w:szCs w:val="20"/>
          <w:color w:val="auto"/>
        </w:rPr>
      </w:pPr>
    </w:p>
    <w:p>
      <w:pPr>
        <w:jc w:val="both"/>
        <w:ind w:left="40" w:right="100" w:firstLine="971"/>
        <w:spacing w:after="0" w:line="274" w:lineRule="auto"/>
        <w:rPr>
          <w:sz w:val="20"/>
          <w:szCs w:val="20"/>
          <w:color w:val="auto"/>
        </w:rPr>
      </w:pPr>
      <w:r>
        <w:rPr>
          <w:rFonts w:ascii="Times New Roman" w:cs="Times New Roman" w:eastAsia="Times New Roman" w:hAnsi="Times New Roman"/>
          <w:sz w:val="20"/>
          <w:szCs w:val="20"/>
          <w:color w:val="auto"/>
        </w:rPr>
        <w:t xml:space="preserve">If Company determines in good faith that any provision of this Agreement or any </w:t>
      </w:r>
      <w:r>
        <w:rPr>
          <w:rFonts w:ascii="Times New Roman" w:cs="Times New Roman" w:eastAsia="Times New Roman" w:hAnsi="Times New Roman"/>
          <w:sz w:val="20"/>
          <w:szCs w:val="20"/>
          <w:color w:val="282828"/>
        </w:rPr>
        <w:t>compensation</w:t>
      </w:r>
      <w:r>
        <w:rPr>
          <w:rFonts w:ascii="Times New Roman" w:cs="Times New Roman" w:eastAsia="Times New Roman" w:hAnsi="Times New Roman"/>
          <w:sz w:val="20"/>
          <w:szCs w:val="20"/>
          <w:color w:val="auto"/>
        </w:rPr>
        <w:t xml:space="preserve"> or benefits payable under this Agreement would cause Executive to incur an additional tax, penalty, or interest under Section 409A, Company may adopt such amendments to this Agreement or adopt other policies or procedures (including amendments, policies and procedures with retroactive effect), or take any other actions that Company determines are necessary or appropriate to preserve the intended tax treatment of the compensation and benefits payable hereunder including without limitation actions intended to (a) exempt the compensation and benefits payable under this Agreement from Section 409A, and/or (b) comply with the requirements of Section 409A. The preceding provisions, however, shall not be construed as a guarantee by Company of any particular tax effect to Executive under this Agreement or create any obligation on the part of Company to adopt any such amendments, policies or procedures or to take any other such actions. In no event shall Company, its affiliates or any of their respective officers, directors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60"/>
          </w:cols>
          <w:pgMar w:left="400" w:top="10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advisors be liable for any taxes, interest or penalties imposed under Section 409A or any corresponding provision of state or local law.</w:t>
      </w:r>
    </w:p>
    <w:p>
      <w:pPr>
        <w:spacing w:after="0" w:line="297" w:lineRule="exact"/>
        <w:rPr>
          <w:sz w:val="20"/>
          <w:szCs w:val="20"/>
          <w:color w:val="auto"/>
        </w:rPr>
      </w:pPr>
    </w:p>
    <w:p>
      <w:pPr>
        <w:jc w:val="both"/>
        <w:ind w:left="40" w:right="100" w:firstLine="971"/>
        <w:spacing w:after="0" w:line="274" w:lineRule="auto"/>
        <w:rPr>
          <w:sz w:val="20"/>
          <w:szCs w:val="20"/>
          <w:color w:val="auto"/>
        </w:rPr>
      </w:pPr>
      <w:r>
        <w:rPr>
          <w:rFonts w:ascii="Times New Roman" w:cs="Times New Roman" w:eastAsia="Times New Roman" w:hAnsi="Times New Roman"/>
          <w:sz w:val="20"/>
          <w:szCs w:val="20"/>
          <w:color w:val="auto"/>
        </w:rPr>
        <w:t>For purposes of Section 409A, the right to a series of installment payments under this Agreement shall be treated as a right to a series of separate and distinct payments. In no event may Executive, directly or indirectly, designate the calendar year of payment. With respect to any reimbursement of expenses of, or any provision of in-kind benefits to, Executive, as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 105(b) of the Code; (2) the reimbursement of an eligible expense shall be made no later than the end of the year after the year in which such expense was incurred; and (3) the right to reimbursement or in-kind benefits shall not be subject to liquidation or exchange for another benefit.</w:t>
      </w:r>
    </w:p>
    <w:p>
      <w:pPr>
        <w:spacing w:after="0" w:line="242" w:lineRule="exact"/>
        <w:rPr>
          <w:sz w:val="20"/>
          <w:szCs w:val="20"/>
          <w:color w:val="auto"/>
        </w:rPr>
      </w:pPr>
    </w:p>
    <w:p>
      <w:pPr>
        <w:jc w:val="both"/>
        <w:ind w:left="40" w:right="100" w:firstLine="971"/>
        <w:spacing w:after="0" w:line="276" w:lineRule="auto"/>
        <w:rPr>
          <w:sz w:val="20"/>
          <w:szCs w:val="20"/>
          <w:color w:val="auto"/>
        </w:rPr>
      </w:pPr>
      <w:r>
        <w:rPr>
          <w:rFonts w:ascii="Times New Roman" w:cs="Times New Roman" w:eastAsia="Times New Roman" w:hAnsi="Times New Roman"/>
          <w:sz w:val="20"/>
          <w:szCs w:val="20"/>
          <w:color w:val="auto"/>
        </w:rPr>
        <w:t>Notwithstanding anything in this Agreement to the contrary, any compensation or benefit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For the avoidance of doubt, "termination of employment," "resignation," or words of similar import, as used in this Agreement means, for purposes of any payments under this Agreement that are payments of nonqualified deferred compensation subject to Section 409A, Executive's "separation from service" within the meaning of Section 409A.</w:t>
      </w:r>
    </w:p>
    <w:p>
      <w:pPr>
        <w:spacing w:after="0" w:line="236" w:lineRule="exact"/>
        <w:rPr>
          <w:sz w:val="20"/>
          <w:szCs w:val="20"/>
          <w:color w:val="auto"/>
        </w:rPr>
      </w:pPr>
    </w:p>
    <w:p>
      <w:pPr>
        <w:jc w:val="both"/>
        <w:ind w:left="40" w:right="100" w:firstLine="971"/>
        <w:spacing w:after="0" w:line="278" w:lineRule="auto"/>
        <w:rPr>
          <w:sz w:val="20"/>
          <w:szCs w:val="20"/>
          <w:color w:val="auto"/>
        </w:rPr>
      </w:pPr>
      <w:r>
        <w:rPr>
          <w:rFonts w:ascii="Times New Roman" w:cs="Times New Roman" w:eastAsia="Times New Roman" w:hAnsi="Times New Roman"/>
          <w:sz w:val="20"/>
          <w:szCs w:val="20"/>
          <w:color w:val="auto"/>
        </w:rPr>
        <w:t>If as of the date of Executive’s “separation from service” within the meaning of Section 409A, Company has determined, in its sole discretion, that Executive qualifies as a “specified employee” for purposes of Section 409A and as a result of Executive’s separation from service Executive is entitled to severance or other benefits that constitute deferred compensation under Section 409A, then to the extent required by Section 409A, no such payments or benefits will be paid or provided to executive until the earlier of (i) the first day following the six- month anniversary of the date of Executive’s separation from service and (ii) the date of Executive’s death.</w:t>
      </w:r>
    </w:p>
    <w:p>
      <w:pPr>
        <w:spacing w:after="0" w:line="190" w:lineRule="exact"/>
        <w:rPr>
          <w:sz w:val="20"/>
          <w:szCs w:val="20"/>
          <w:color w:val="auto"/>
        </w:rPr>
      </w:pPr>
    </w:p>
    <w:p>
      <w:pPr>
        <w:jc w:val="both"/>
        <w:ind w:left="40" w:right="100" w:hanging="4"/>
        <w:spacing w:after="0" w:line="284" w:lineRule="auto"/>
        <w:tabs>
          <w:tab w:leader="none" w:pos="57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Entire Agreement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From and after the Effective Date</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this Agreement constitutes the entire agreement between the Parties hereto</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and supe</w:t>
      </w:r>
      <w:r>
        <w:rPr>
          <w:rFonts w:ascii="Times New Roman" w:cs="Times New Roman" w:eastAsia="Times New Roman" w:hAnsi="Times New Roman"/>
          <w:sz w:val="20"/>
          <w:szCs w:val="20"/>
          <w:color w:val="424244"/>
        </w:rPr>
        <w:t>r</w:t>
      </w:r>
      <w:r>
        <w:rPr>
          <w:rFonts w:ascii="Times New Roman" w:cs="Times New Roman" w:eastAsia="Times New Roman" w:hAnsi="Times New Roman"/>
          <w:sz w:val="20"/>
          <w:szCs w:val="20"/>
          <w:color w:val="282828"/>
        </w:rPr>
        <w:t>sedes all prior representations, agreements and understandings (including any prior course of dealings), both written and oral, between the Parties hereto with respect to the subject matter hereof.</w:t>
      </w:r>
    </w:p>
    <w:p>
      <w:pPr>
        <w:spacing w:after="0" w:line="209" w:lineRule="exact"/>
        <w:rPr>
          <w:rFonts w:ascii="Times New Roman" w:cs="Times New Roman" w:eastAsia="Times New Roman" w:hAnsi="Times New Roman"/>
          <w:sz w:val="20"/>
          <w:szCs w:val="20"/>
          <w:color w:val="auto"/>
        </w:rPr>
      </w:pPr>
    </w:p>
    <w:p>
      <w:pPr>
        <w:jc w:val="both"/>
        <w:ind w:left="40" w:right="100" w:hanging="4"/>
        <w:spacing w:after="0" w:line="277" w:lineRule="auto"/>
        <w:tabs>
          <w:tab w:leader="none" w:pos="57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282828"/>
        </w:rPr>
        <w:t>Miscellaneous</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The Parties agree that the remedy at law for any breach of covenants contained in this Agreement may be</w:t>
      </w:r>
      <w:r>
        <w:rPr>
          <w:rFonts w:ascii="Times New Roman" w:cs="Times New Roman" w:eastAsia="Times New Roman" w:hAnsi="Times New Roman"/>
          <w:sz w:val="20"/>
          <w:szCs w:val="20"/>
          <w:b w:val="1"/>
          <w:bCs w:val="1"/>
          <w:color w:val="282828"/>
        </w:rPr>
        <w:t xml:space="preserve"> </w:t>
      </w:r>
      <w:r>
        <w:rPr>
          <w:rFonts w:ascii="Times New Roman" w:cs="Times New Roman" w:eastAsia="Times New Roman" w:hAnsi="Times New Roman"/>
          <w:sz w:val="20"/>
          <w:szCs w:val="20"/>
          <w:color w:val="282828"/>
        </w:rPr>
        <w:t>inadequate and would be difficult to ascertain and therefore upon an event of a breach or threatened breach of such covenants, the non-breaching Party</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in addition to any other remedies</w:t>
      </w:r>
      <w:r>
        <w:rPr>
          <w:rFonts w:ascii="Times New Roman" w:cs="Times New Roman" w:eastAsia="Times New Roman" w:hAnsi="Times New Roman"/>
          <w:sz w:val="20"/>
          <w:szCs w:val="20"/>
          <w:color w:val="565658"/>
        </w:rPr>
        <w:t>,</w:t>
      </w:r>
      <w:r>
        <w:rPr>
          <w:rFonts w:ascii="Times New Roman" w:cs="Times New Roman" w:eastAsia="Times New Roman" w:hAnsi="Times New Roman"/>
          <w:sz w:val="20"/>
          <w:szCs w:val="20"/>
          <w:color w:val="282828"/>
        </w:rPr>
        <w:t xml:space="preserve"> shall have the right to enjoin the breaching Party from any threatened or actual activity in violation hereof</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Each Party hereby consents and agrees that the non-breaching Party shall be authorized and entitled to obtain from any court of competent jurisdiction preliminary</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temporary</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and</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or permanent injunctive relief, as well as any other relief (including damages) permitted by applicable law</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The prevailing party in any action for breach of this Agreement shall re</w:t>
      </w:r>
      <w:r>
        <w:rPr>
          <w:rFonts w:ascii="Times New Roman" w:cs="Times New Roman" w:eastAsia="Times New Roman" w:hAnsi="Times New Roman"/>
          <w:sz w:val="20"/>
          <w:szCs w:val="20"/>
          <w:color w:val="424244"/>
        </w:rPr>
        <w:t>i</w:t>
      </w:r>
      <w:r>
        <w:rPr>
          <w:rFonts w:ascii="Times New Roman" w:cs="Times New Roman" w:eastAsia="Times New Roman" w:hAnsi="Times New Roman"/>
          <w:sz w:val="20"/>
          <w:szCs w:val="20"/>
          <w:color w:val="282828"/>
        </w:rPr>
        <w:t xml:space="preserve">mburse </w:t>
      </w:r>
      <w:r>
        <w:rPr>
          <w:rFonts w:ascii="Times New Roman" w:cs="Times New Roman" w:eastAsia="Times New Roman" w:hAnsi="Times New Roman"/>
          <w:sz w:val="20"/>
          <w:szCs w:val="20"/>
          <w:color w:val="424244"/>
        </w:rPr>
        <w:t>t</w:t>
      </w:r>
      <w:r>
        <w:rPr>
          <w:rFonts w:ascii="Times New Roman" w:cs="Times New Roman" w:eastAsia="Times New Roman" w:hAnsi="Times New Roman"/>
          <w:sz w:val="20"/>
          <w:szCs w:val="20"/>
          <w:color w:val="282828"/>
        </w:rPr>
        <w: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60"/>
          </w:cols>
          <w:pgMar w:left="400" w:top="10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82828"/>
        </w:rPr>
        <w:t>non-breaching Party for his/its reasonable attorneys' fees and costs incurred in such action.</w:t>
      </w:r>
    </w:p>
    <w:p>
      <w:pPr>
        <w:spacing w:after="0" w:line="297" w:lineRule="exact"/>
        <w:rPr>
          <w:sz w:val="20"/>
          <w:szCs w:val="20"/>
          <w:color w:val="auto"/>
        </w:rPr>
      </w:pPr>
    </w:p>
    <w:p>
      <w:pPr>
        <w:jc w:val="both"/>
        <w:ind w:left="120" w:right="100" w:firstLine="971"/>
        <w:spacing w:after="0" w:line="277" w:lineRule="auto"/>
        <w:rPr>
          <w:sz w:val="20"/>
          <w:szCs w:val="20"/>
          <w:color w:val="auto"/>
        </w:rPr>
      </w:pPr>
      <w:r>
        <w:rPr>
          <w:rFonts w:ascii="Times New Roman" w:cs="Times New Roman" w:eastAsia="Times New Roman" w:hAnsi="Times New Roman"/>
          <w:sz w:val="20"/>
          <w:szCs w:val="20"/>
          <w:color w:val="282828"/>
        </w:rPr>
        <w:t>This Agreement shall be binding upon and shall inure to the benefit of the Parties and their respective successors and assigns. Notwithstanding the foregoing</w:t>
      </w:r>
      <w:r>
        <w:rPr>
          <w:rFonts w:ascii="Times New Roman" w:cs="Times New Roman" w:eastAsia="Times New Roman" w:hAnsi="Times New Roman"/>
          <w:sz w:val="20"/>
          <w:szCs w:val="20"/>
          <w:color w:val="565658"/>
        </w:rPr>
        <w:t>,</w:t>
      </w:r>
      <w:r>
        <w:rPr>
          <w:rFonts w:ascii="Times New Roman" w:cs="Times New Roman" w:eastAsia="Times New Roman" w:hAnsi="Times New Roman"/>
          <w:sz w:val="20"/>
          <w:szCs w:val="20"/>
          <w:color w:val="282828"/>
        </w:rPr>
        <w:t xml:space="preserve"> Executive shall not assign any obligations hereunder without the express written consent of Company and its successors and assigns and Company shall not assign its obligations without the express written consent of Executive and his successors and assigns</w:t>
      </w:r>
      <w:r>
        <w:rPr>
          <w:rFonts w:ascii="Times New Roman" w:cs="Times New Roman" w:eastAsia="Times New Roman" w:hAnsi="Times New Roman"/>
          <w:sz w:val="20"/>
          <w:szCs w:val="20"/>
          <w:color w:val="424244"/>
        </w:rPr>
        <w:t>.</w:t>
      </w:r>
    </w:p>
    <w:p>
      <w:pPr>
        <w:spacing w:after="0" w:line="248" w:lineRule="exact"/>
        <w:rPr>
          <w:sz w:val="20"/>
          <w:szCs w:val="20"/>
          <w:color w:val="auto"/>
        </w:rPr>
      </w:pPr>
    </w:p>
    <w:p>
      <w:pPr>
        <w:jc w:val="both"/>
        <w:ind w:left="120" w:right="120" w:firstLine="971"/>
        <w:spacing w:after="0" w:line="297" w:lineRule="auto"/>
        <w:rPr>
          <w:sz w:val="20"/>
          <w:szCs w:val="20"/>
          <w:color w:val="auto"/>
        </w:rPr>
      </w:pPr>
      <w:r>
        <w:rPr>
          <w:rFonts w:ascii="Times New Roman" w:cs="Times New Roman" w:eastAsia="Times New Roman" w:hAnsi="Times New Roman"/>
          <w:sz w:val="20"/>
          <w:szCs w:val="20"/>
          <w:color w:val="282828"/>
        </w:rPr>
        <w:t>This Agreement may be executed in counterparts and by email. Each and every counterpart shall, for all purposes, be deemed an original</w:t>
      </w:r>
      <w:r>
        <w:rPr>
          <w:rFonts w:ascii="Times New Roman" w:cs="Times New Roman" w:eastAsia="Times New Roman" w:hAnsi="Times New Roman"/>
          <w:sz w:val="20"/>
          <w:szCs w:val="20"/>
          <w:color w:val="424244"/>
        </w:rPr>
        <w:t>,</w:t>
      </w:r>
      <w:r>
        <w:rPr>
          <w:rFonts w:ascii="Times New Roman" w:cs="Times New Roman" w:eastAsia="Times New Roman" w:hAnsi="Times New Roman"/>
          <w:sz w:val="20"/>
          <w:szCs w:val="20"/>
          <w:color w:val="282828"/>
        </w:rPr>
        <w:t xml:space="preserve"> but all such counterparts together shall constitute one and the same instrument.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82828"/>
        </w:rPr>
        <w:t>IN WITNESS WHEREOF, these Parties h</w:t>
      </w:r>
      <w:r>
        <w:rPr>
          <w:rFonts w:ascii="Times New Roman" w:cs="Times New Roman" w:eastAsia="Times New Roman" w:hAnsi="Times New Roman"/>
          <w:sz w:val="20"/>
          <w:szCs w:val="20"/>
          <w:color w:val="424244"/>
        </w:rPr>
        <w:t>a</w:t>
      </w:r>
      <w:r>
        <w:rPr>
          <w:rFonts w:ascii="Times New Roman" w:cs="Times New Roman" w:eastAsia="Times New Roman" w:hAnsi="Times New Roman"/>
          <w:sz w:val="20"/>
          <w:szCs w:val="20"/>
          <w:color w:val="282828"/>
        </w:rPr>
        <w:t>ve execu</w:t>
      </w:r>
      <w:r>
        <w:rPr>
          <w:rFonts w:ascii="Times New Roman" w:cs="Times New Roman" w:eastAsia="Times New Roman" w:hAnsi="Times New Roman"/>
          <w:sz w:val="20"/>
          <w:szCs w:val="20"/>
          <w:color w:val="424244"/>
        </w:rPr>
        <w:t>t</w:t>
      </w:r>
      <w:r>
        <w:rPr>
          <w:rFonts w:ascii="Times New Roman" w:cs="Times New Roman" w:eastAsia="Times New Roman" w:hAnsi="Times New Roman"/>
          <w:sz w:val="20"/>
          <w:szCs w:val="20"/>
          <w:color w:val="282828"/>
        </w:rPr>
        <w:t>ed this Agre</w:t>
      </w:r>
      <w:r>
        <w:rPr>
          <w:rFonts w:ascii="Times New Roman" w:cs="Times New Roman" w:eastAsia="Times New Roman" w:hAnsi="Times New Roman"/>
          <w:sz w:val="20"/>
          <w:szCs w:val="20"/>
          <w:color w:val="424244"/>
        </w:rPr>
        <w:t>e</w:t>
      </w:r>
      <w:r>
        <w:rPr>
          <w:rFonts w:ascii="Times New Roman" w:cs="Times New Roman" w:eastAsia="Times New Roman" w:hAnsi="Times New Roman"/>
          <w:sz w:val="20"/>
          <w:szCs w:val="20"/>
          <w:color w:val="282828"/>
        </w:rPr>
        <w:t>ment on the Effective Date.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2720" w:type="dxa"/>
            <w:vAlign w:val="bottom"/>
          </w:tcPr>
          <w:p>
            <w:pPr>
              <w:spacing w:after="0"/>
              <w:rPr>
                <w:sz w:val="17"/>
                <w:szCs w:val="17"/>
                <w:color w:val="auto"/>
              </w:rPr>
            </w:pPr>
          </w:p>
        </w:tc>
        <w:tc>
          <w:tcPr>
            <w:tcW w:w="7680" w:type="dxa"/>
            <w:vAlign w:val="bottom"/>
            <w:gridSpan w:val="4"/>
          </w:tcPr>
          <w:p>
            <w:pPr>
              <w:ind w:left="42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45"/>
        </w:trPr>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Ed Fargis</w:t>
            </w: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Parth Mehrotra</w:t>
            </w:r>
          </w:p>
        </w:tc>
      </w:tr>
      <w:tr>
        <w:trPr>
          <w:trHeight w:val="259"/>
        </w:trPr>
        <w:tc>
          <w:tcPr>
            <w:tcW w:w="20" w:type="dxa"/>
            <w:vAlign w:val="bottom"/>
          </w:tcPr>
          <w:p>
            <w:pPr>
              <w:spacing w:after="0"/>
              <w:rPr>
                <w:sz w:val="22"/>
                <w:szCs w:val="22"/>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Edward C. Fargis</w:t>
            </w:r>
          </w:p>
        </w:tc>
        <w:tc>
          <w:tcPr>
            <w:tcW w:w="4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Parth Mehrotra</w:t>
            </w:r>
          </w:p>
        </w:tc>
      </w:tr>
      <w:tr>
        <w:trPr>
          <w:trHeight w:val="234"/>
        </w:trPr>
        <w:tc>
          <w:tcPr>
            <w:tcW w:w="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General Counsel &amp; EVP</w:t>
            </w:r>
          </w:p>
        </w:tc>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00"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u w:val="single" w:color="auto"/>
          <w:color w:val="2E2E2E"/>
        </w:rPr>
        <w:t>EXHIBIT A</w:t>
      </w: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2E2E2E"/>
        </w:rPr>
        <w:t>Compensation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80" w:right="8860" w:hanging="644"/>
        <w:spacing w:after="0" w:line="277" w:lineRule="auto"/>
        <w:tabs>
          <w:tab w:leader="none" w:pos="6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Annual Base Salary: </w:t>
      </w:r>
      <w:r>
        <w:rPr>
          <w:rFonts w:ascii="Courier New" w:cs="Courier New" w:eastAsia="Courier New" w:hAnsi="Courier New"/>
          <w:sz w:val="17"/>
          <w:szCs w:val="17"/>
          <w:color w:val="auto"/>
        </w:rPr>
        <w:t xml:space="preserve">o </w:t>
      </w:r>
      <w:r>
        <w:rPr>
          <w:rFonts w:ascii="Times New Roman" w:cs="Times New Roman" w:eastAsia="Times New Roman" w:hAnsi="Times New Roman"/>
          <w:sz w:val="19"/>
          <w:szCs w:val="19"/>
          <w:color w:val="auto"/>
        </w:rPr>
        <w:t>$375,000</w:t>
      </w:r>
    </w:p>
    <w:p>
      <w:pPr>
        <w:spacing w:after="0" w:line="1" w:lineRule="exact"/>
        <w:rPr>
          <w:rFonts w:ascii="Times New Roman" w:cs="Times New Roman" w:eastAsia="Times New Roman" w:hAnsi="Times New Roman"/>
          <w:sz w:val="18"/>
          <w:szCs w:val="18"/>
          <w:color w:val="auto"/>
        </w:rPr>
      </w:pPr>
    </w:p>
    <w:p>
      <w:pPr>
        <w:ind w:left="1320" w:hanging="636"/>
        <w:spacing w:after="0" w:line="235" w:lineRule="auto"/>
        <w:tabs>
          <w:tab w:leader="none" w:pos="1320" w:val="left"/>
        </w:tabs>
        <w:numPr>
          <w:ilvl w:val="1"/>
          <w:numId w:val="8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paid in semi-monthly installments under exempt status; minus all relevant taxes and withholdings;</w:t>
      </w:r>
    </w:p>
    <w:p>
      <w:pPr>
        <w:spacing w:after="0" w:line="47" w:lineRule="exact"/>
        <w:rPr>
          <w:rFonts w:ascii="Courier New" w:cs="Courier New" w:eastAsia="Courier New" w:hAnsi="Courier New"/>
          <w:sz w:val="18"/>
          <w:szCs w:val="18"/>
          <w:color w:val="auto"/>
        </w:rPr>
      </w:pPr>
    </w:p>
    <w:p>
      <w:pPr>
        <w:ind w:left="680" w:hanging="644"/>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Annual Cash Bonus:</w:t>
      </w:r>
    </w:p>
    <w:p>
      <w:pPr>
        <w:spacing w:after="0" w:line="18" w:lineRule="exact"/>
        <w:rPr>
          <w:rFonts w:ascii="Times New Roman" w:cs="Times New Roman" w:eastAsia="Times New Roman" w:hAnsi="Times New Roman"/>
          <w:sz w:val="18"/>
          <w:szCs w:val="18"/>
          <w:color w:val="auto"/>
        </w:rPr>
      </w:pPr>
    </w:p>
    <w:p>
      <w:pPr>
        <w:ind w:left="1340" w:right="100" w:hanging="656"/>
        <w:spacing w:after="0" w:line="254" w:lineRule="auto"/>
        <w:tabs>
          <w:tab w:leader="none" w:pos="1351" w:val="left"/>
        </w:tabs>
        <w:numPr>
          <w:ilvl w:val="1"/>
          <w:numId w:val="8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Eligibility of up to 60% of the base salary amount per the then-current Company Employee Bonus Program, with any bonus amount for 2024 not subject to proration;</w:t>
      </w:r>
    </w:p>
    <w:p>
      <w:pPr>
        <w:spacing w:after="0" w:line="1" w:lineRule="exact"/>
        <w:rPr>
          <w:rFonts w:ascii="Courier New" w:cs="Courier New" w:eastAsia="Courier New" w:hAnsi="Courier New"/>
          <w:sz w:val="18"/>
          <w:szCs w:val="18"/>
          <w:color w:val="auto"/>
        </w:rPr>
      </w:pPr>
    </w:p>
    <w:p>
      <w:pPr>
        <w:jc w:val="both"/>
        <w:ind w:left="680" w:right="100" w:hanging="644"/>
        <w:spacing w:after="0" w:line="222" w:lineRule="auto"/>
        <w:tabs>
          <w:tab w:leader="none" w:pos="6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Eligibility for Annual Equity Grants and compensation adjustments commensurate with the Named Executive Officer level band as determined by the Compensation Committee of the Board of Directors of Privia Health Group, Inc. (the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commencing in 2024, with a recommendation to the Committee by the Company of an annual equity grant for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valued at $1,500,000;</w:t>
      </w:r>
    </w:p>
    <w:p>
      <w:pPr>
        <w:spacing w:after="0" w:line="1" w:lineRule="exact"/>
        <w:rPr>
          <w:rFonts w:ascii="Times New Roman" w:cs="Times New Roman" w:eastAsia="Times New Roman" w:hAnsi="Times New Roman"/>
          <w:sz w:val="18"/>
          <w:szCs w:val="18"/>
          <w:color w:val="auto"/>
        </w:rPr>
      </w:pPr>
    </w:p>
    <w:p>
      <w:pPr>
        <w:ind w:left="680" w:hanging="644"/>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Sign-on Equity Grant:</w:t>
      </w:r>
    </w:p>
    <w:p>
      <w:pPr>
        <w:spacing w:after="0" w:line="24" w:lineRule="exact"/>
        <w:rPr>
          <w:rFonts w:ascii="Times New Roman" w:cs="Times New Roman" w:eastAsia="Times New Roman" w:hAnsi="Times New Roman"/>
          <w:sz w:val="18"/>
          <w:szCs w:val="18"/>
          <w:color w:val="auto"/>
        </w:rPr>
      </w:pPr>
    </w:p>
    <w:p>
      <w:pPr>
        <w:ind w:left="1340" w:right="100" w:hanging="656"/>
        <w:spacing w:after="0" w:line="257" w:lineRule="auto"/>
        <w:tabs>
          <w:tab w:leader="none" w:pos="1337" w:val="left"/>
        </w:tabs>
        <w:numPr>
          <w:ilvl w:val="1"/>
          <w:numId w:val="8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Sign on equity grant of restricted stock units (“RSUs”) valued at $1,000,000 (the “Sign- On Grant”), with cliff vesting on the third anniversary of the Grant Date (defined below) of the Sign-On Grant;</w:t>
      </w:r>
    </w:p>
    <w:p>
      <w:pPr>
        <w:spacing w:after="0" w:line="8" w:lineRule="exact"/>
        <w:rPr>
          <w:rFonts w:ascii="Courier New" w:cs="Courier New" w:eastAsia="Courier New" w:hAnsi="Courier New"/>
          <w:sz w:val="18"/>
          <w:szCs w:val="18"/>
          <w:color w:val="auto"/>
        </w:rPr>
      </w:pPr>
    </w:p>
    <w:p>
      <w:pPr>
        <w:jc w:val="both"/>
        <w:ind w:left="1340" w:right="100" w:hanging="656"/>
        <w:spacing w:after="0" w:line="248" w:lineRule="auto"/>
        <w:tabs>
          <w:tab w:leader="none" w:pos="1364" w:val="left"/>
        </w:tabs>
        <w:numPr>
          <w:ilvl w:val="1"/>
          <w:numId w:val="8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The quantity of the RSUs granted will be determined by dividing (a) the Equity Grant Value ($1,000,000) by (b) the average PRVA closing price for the thirty (30) trading days immediately prior to the Commencement Date (the “</w:t>
      </w:r>
      <w:r>
        <w:rPr>
          <w:rFonts w:ascii="Times New Roman" w:cs="Times New Roman" w:eastAsia="Times New Roman" w:hAnsi="Times New Roman"/>
          <w:sz w:val="20"/>
          <w:szCs w:val="20"/>
          <w:b w:val="1"/>
          <w:bCs w:val="1"/>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4" w:lineRule="exact"/>
        <w:rPr>
          <w:rFonts w:ascii="Courier New" w:cs="Courier New" w:eastAsia="Courier New" w:hAnsi="Courier New"/>
          <w:sz w:val="18"/>
          <w:szCs w:val="18"/>
          <w:color w:val="auto"/>
        </w:rPr>
      </w:pPr>
    </w:p>
    <w:p>
      <w:pPr>
        <w:jc w:val="both"/>
        <w:ind w:left="680" w:right="100" w:hanging="644"/>
        <w:spacing w:after="0" w:line="226" w:lineRule="auto"/>
        <w:tabs>
          <w:tab w:leader="none" w:pos="6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Equity Grants, including the Sign-On Grant, and the terms and conditions thereto, are contingent on approval by the Compensation Committee and will be subject to the Privia Health Group, Inc. 2021 Omnibus Incentive Plan (or any successor plan thereto) and the award agreements pursuant to which such Equity Grants are granted;</w:t>
      </w:r>
    </w:p>
    <w:p>
      <w:pPr>
        <w:ind w:left="680" w:hanging="644"/>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Health, welfare, and retirement benefits commensurate with similarly situated employees at Privia;</w:t>
      </w:r>
    </w:p>
    <w:p>
      <w:pPr>
        <w:spacing w:after="0" w:line="26" w:lineRule="exact"/>
        <w:rPr>
          <w:rFonts w:ascii="Times New Roman" w:cs="Times New Roman" w:eastAsia="Times New Roman" w:hAnsi="Times New Roman"/>
          <w:sz w:val="18"/>
          <w:szCs w:val="18"/>
          <w:color w:val="auto"/>
        </w:rPr>
      </w:pPr>
    </w:p>
    <w:p>
      <w:pPr>
        <w:ind w:left="680" w:hanging="648"/>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Unlimited Paid Time Off; and</w:t>
      </w:r>
    </w:p>
    <w:p>
      <w:pPr>
        <w:spacing w:after="0" w:line="26" w:lineRule="exact"/>
        <w:rPr>
          <w:rFonts w:ascii="Times New Roman" w:cs="Times New Roman" w:eastAsia="Times New Roman" w:hAnsi="Times New Roman"/>
          <w:sz w:val="18"/>
          <w:szCs w:val="18"/>
          <w:color w:val="auto"/>
        </w:rPr>
      </w:pPr>
    </w:p>
    <w:p>
      <w:pPr>
        <w:ind w:left="680" w:right="120" w:hanging="648"/>
        <w:spacing w:after="0" w:line="232" w:lineRule="auto"/>
        <w:tabs>
          <w:tab w:leader="none" w:pos="6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Access to all the perks, learning opportunities, and opportunities to change our communities that comes with being a Privia Health employee.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60"/>
          </w:cols>
          <w:pgMar w:left="400" w:top="10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20" w:type="dxa"/>
            <w:vAlign w:val="bottom"/>
          </w:tcPr>
          <w:p>
            <w:pPr>
              <w:spacing w:after="0"/>
              <w:rPr>
                <w:sz w:val="22"/>
                <w:szCs w:val="22"/>
                <w:color w:val="auto"/>
              </w:rPr>
            </w:pPr>
          </w:p>
        </w:tc>
        <w:tc>
          <w:tcPr>
            <w:tcW w:w="496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auto"/>
              </w:rPr>
              <w:t>List of Subsidiaries of Privia Health Group, Inc.</w:t>
            </w:r>
          </w:p>
        </w:tc>
        <w:tc>
          <w:tcPr>
            <w:tcW w:w="50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453"/>
        </w:trPr>
        <w:tc>
          <w:tcPr>
            <w:tcW w:w="312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Legal Name of Entity</w:t>
            </w:r>
          </w:p>
        </w:tc>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Jurisdiction of Formation</w:t>
            </w:r>
          </w:p>
        </w:tc>
      </w:tr>
      <w:tr>
        <w:trPr>
          <w:trHeight w:val="281"/>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BASS Privia Management Company of California, LLC</w:t>
            </w:r>
          </w:p>
        </w:tc>
        <w:tc>
          <w:tcPr>
            <w:tcW w:w="5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CMG ACO,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CT</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Complete MD Solutions,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Patient Health Advocacy Solutions,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PH Group Holdings Corp. (f/k/a Brighton Health Services Holdings Corp.)</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POL,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South Carolina Holdings,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SC</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Washington Holdings,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WA</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 West Texas Holdings,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PMG-TN Physicians,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TN</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PQN Central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PQN-CT II,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PQN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Care Center,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VA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Care Partners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DC Metro Management Company,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Health,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Delaware,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Montana,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North Carolina,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of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of North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South Carolina,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of Ohio,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Tennessee,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Washington,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West Texas,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Company,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Management Services Organization,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Medical Group of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Medical Group of South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Medical Group South Carolina,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SC</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Medical Group Tennessee,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TN</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Medical Group Washington,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WA</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Medical Group West Texas, PLLC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TX</w:t>
            </w:r>
          </w:p>
        </w:tc>
      </w:tr>
      <w:tr>
        <w:trPr>
          <w:trHeight w:val="257"/>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Medical Group,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Pediatric Medical Group of Georgia,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GA</w:t>
            </w:r>
          </w:p>
        </w:tc>
      </w:tr>
      <w:tr>
        <w:trPr>
          <w:trHeight w:val="256"/>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Quality Network - I,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58"/>
        </w:trPr>
        <w:tc>
          <w:tcPr>
            <w:tcW w:w="8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Privia Quality Network - II, LLC</w:t>
            </w:r>
          </w:p>
        </w:tc>
        <w:tc>
          <w:tcPr>
            <w:tcW w:w="5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bl>
    <w:p>
      <w:pPr>
        <w:sectPr>
          <w:pgSz w:w="11900" w:h="16838" w:orient="portrait"/>
          <w:cols w:equalWidth="0" w:num="1">
            <w:col w:w="11160"/>
          </w:cols>
          <w:pgMar w:left="400" w:top="11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 III,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6"/>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Central Florida,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Connecticut,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Colorado,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Delaware,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Florida II,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6"/>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Gulf Coast II,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of California,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Maryland,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Tennessee,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6"/>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Quality Network/Novant Health Enterprises,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Services Company Connecticut,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93"/>
              </w:rPr>
              <w:t>CT</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Virtual Health,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Women’s Health,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2"/>
              </w:rPr>
              <w:t>VA</w:t>
            </w:r>
          </w:p>
        </w:tc>
      </w:tr>
      <w:tr>
        <w:trPr>
          <w:trHeight w:val="256"/>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Privia Women’s Specialty IPA,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r>
        <w:trPr>
          <w:trHeight w:val="258"/>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Women’s Health Management Company, LLC</w:t>
            </w:r>
          </w:p>
        </w:tc>
        <w:tc>
          <w:tcPr>
            <w:tcW w:w="2760" w:type="dxa"/>
            <w:vAlign w:val="bottom"/>
          </w:tcPr>
          <w:p>
            <w:pPr>
              <w:ind w:left="2500"/>
              <w:spacing w:after="0"/>
              <w:rPr>
                <w:sz w:val="20"/>
                <w:szCs w:val="20"/>
                <w:color w:val="auto"/>
              </w:rPr>
            </w:pPr>
            <w:r>
              <w:rPr>
                <w:rFonts w:ascii="Times New Roman" w:cs="Times New Roman" w:eastAsia="Times New Roman" w:hAnsi="Times New Roman"/>
                <w:sz w:val="20"/>
                <w:szCs w:val="20"/>
                <w:color w:val="auto"/>
                <w:w w:val="89"/>
              </w:rPr>
              <w:t>DE</w:t>
            </w:r>
          </w:p>
        </w:tc>
      </w:tr>
    </w:tbl>
    <w:p>
      <w:pPr>
        <w:sectPr>
          <w:pgSz w:w="11900" w:h="16838" w:orient="portrait"/>
          <w:cols w:equalWidth="0" w:num="1">
            <w:col w:w="11160"/>
          </w:cols>
          <w:pgMar w:left="400" w:top="11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333-255598, 333-255593) and Form S-3 (File No. 333-268394) of Privia Health Group, Inc. of our report dated February 27, 2024 relating to the financial statements and the effectiveness of internal control over financial reporting, which appears in this Form 10-K.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ectPr>
          <w:pgSz w:w="11900" w:h="16838" w:orient="portrait"/>
          <w:cols w:equalWidth="0" w:num="1">
            <w:col w:w="11240"/>
          </w:cols>
          <w:pgMar w:left="320" w:top="11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 of Sarbanes-Oxley Act of 2002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Parth Mehrotra, certify that:</w:t>
      </w:r>
    </w:p>
    <w:p>
      <w:pPr>
        <w:spacing w:after="0" w:line="54"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Privia Health Group, Inc.;</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Times New Roman" w:cs="Times New Roman" w:eastAsia="Times New Roman" w:hAnsi="Times New Roman"/>
          <w:sz w:val="20"/>
          <w:szCs w:val="20"/>
          <w:color w:val="auto"/>
        </w:rPr>
      </w:pPr>
    </w:p>
    <w:p>
      <w:pPr>
        <w:jc w:val="both"/>
        <w:ind w:left="660" w:hanging="328"/>
        <w:spacing w:after="0" w:line="267"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3" w:lineRule="auto"/>
        <w:tabs>
          <w:tab w:leader="none" w:pos="13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Times New Roman" w:cs="Times New Roman" w:eastAsia="Times New Roman" w:hAnsi="Times New Roman"/>
          <w:sz w:val="20"/>
          <w:szCs w:val="20"/>
          <w:color w:val="auto"/>
        </w:rPr>
      </w:pPr>
    </w:p>
    <w:p>
      <w:pPr>
        <w:jc w:val="both"/>
        <w:ind w:left="1300" w:hanging="320"/>
        <w:spacing w:after="0" w:line="267" w:lineRule="auto"/>
        <w:tabs>
          <w:tab w:leader="none" w:pos="13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680" w:val="left"/>
          <w:tab w:leader="none" w:pos="5420" w:val="left"/>
        </w:tabs>
        <w:rPr>
          <w:sz w:val="20"/>
          <w:szCs w:val="20"/>
          <w:color w:val="auto"/>
        </w:rPr>
      </w:pPr>
      <w:r>
        <w:rPr>
          <w:rFonts w:ascii="Times New Roman" w:cs="Times New Roman" w:eastAsia="Times New Roman" w:hAnsi="Times New Roman"/>
          <w:sz w:val="20"/>
          <w:szCs w:val="20"/>
          <w:color w:val="auto"/>
        </w:rPr>
        <w:t>Date:</w:t>
        <w:tab/>
        <w:t>February 27, 2024</w:t>
      </w:r>
      <w:r>
        <w:rPr>
          <w:sz w:val="20"/>
          <w:szCs w:val="20"/>
          <w:color w:val="auto"/>
        </w:rPr>
        <w:tab/>
      </w:r>
      <w:r>
        <w:rPr>
          <w:rFonts w:ascii="Times New Roman" w:cs="Times New Roman" w:eastAsia="Times New Roman" w:hAnsi="Times New Roman"/>
          <w:sz w:val="19"/>
          <w:szCs w:val="19"/>
          <w:color w:val="auto"/>
        </w:rPr>
        <w:t>/s/ Parth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22860</wp:posOffset>
            </wp:positionV>
            <wp:extent cx="36861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Parth Mehrotra</w:t>
      </w:r>
    </w:p>
    <w:p>
      <w:pPr>
        <w:spacing w:after="0" w:line="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20"/>
          </w:cols>
          <w:pgMar w:left="340" w:top="11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 of Sarbanes-Oxley Act of 2002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Mountcastle, certify that:</w:t>
      </w:r>
    </w:p>
    <w:p>
      <w:pPr>
        <w:spacing w:after="0" w:line="54"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Privia Health Group, Inc.;</w:t>
      </w:r>
    </w:p>
    <w:p>
      <w:pPr>
        <w:spacing w:after="0" w:line="67"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20"/>
          <w:szCs w:val="20"/>
          <w:color w:val="auto"/>
        </w:rPr>
      </w:pPr>
    </w:p>
    <w:p>
      <w:pPr>
        <w:jc w:val="both"/>
        <w:ind w:left="660" w:hanging="328"/>
        <w:spacing w:after="0" w:line="251" w:lineRule="auto"/>
        <w:tabs>
          <w:tab w:leader="none" w:pos="6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rFonts w:ascii="Times New Roman" w:cs="Times New Roman" w:eastAsia="Times New Roman" w:hAnsi="Times New Roman"/>
          <w:sz w:val="20"/>
          <w:szCs w:val="20"/>
          <w:color w:val="auto"/>
        </w:rPr>
      </w:pPr>
    </w:p>
    <w:p>
      <w:pPr>
        <w:ind w:left="660" w:right="60" w:hanging="328"/>
        <w:spacing w:after="0" w:line="237" w:lineRule="auto"/>
        <w:tabs>
          <w:tab w:leader="none" w:pos="6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 w:lineRule="exact"/>
        <w:rPr>
          <w:rFonts w:ascii="Times New Roman" w:cs="Times New Roman" w:eastAsia="Times New Roman" w:hAnsi="Times New Roman"/>
          <w:sz w:val="20"/>
          <w:szCs w:val="20"/>
          <w:color w:val="auto"/>
        </w:rPr>
      </w:pPr>
    </w:p>
    <w:p>
      <w:pPr>
        <w:jc w:val="both"/>
        <w:ind w:left="1300" w:hanging="320"/>
        <w:spacing w:after="0" w:line="251" w:lineRule="auto"/>
        <w:tabs>
          <w:tab w:leader="none" w:pos="1289"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0"/>
          <w:szCs w:val="20"/>
          <w:color w:val="auto"/>
        </w:rPr>
      </w:pPr>
    </w:p>
    <w:p>
      <w:pPr>
        <w:jc w:val="both"/>
        <w:ind w:left="1300" w:hanging="320"/>
        <w:spacing w:after="0" w:line="256" w:lineRule="auto"/>
        <w:tabs>
          <w:tab w:leader="none" w:pos="13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2024</w:t>
            </w:r>
          </w:p>
        </w:tc>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Mountcastle</w:t>
            </w:r>
          </w:p>
        </w:tc>
      </w:tr>
      <w:tr>
        <w:trPr>
          <w:trHeight w:val="244"/>
        </w:trPr>
        <w:tc>
          <w:tcPr>
            <w:tcW w:w="400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David Mountcastle</w:t>
            </w:r>
          </w:p>
        </w:tc>
      </w:tr>
      <w:tr>
        <w:trPr>
          <w:trHeight w:val="258"/>
        </w:trPr>
        <w:tc>
          <w:tcPr>
            <w:tcW w:w="4000" w:type="dxa"/>
            <w:vAlign w:val="bottom"/>
          </w:tcPr>
          <w:p>
            <w:pPr>
              <w:spacing w:after="0"/>
              <w:rPr>
                <w:sz w:val="22"/>
                <w:szCs w:val="22"/>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bl>
    <w:p>
      <w:pPr>
        <w:sectPr>
          <w:pgSz w:w="11900" w:h="16838" w:orient="portrait"/>
          <w:cols w:equalWidth="0" w:num="1">
            <w:col w:w="10560"/>
          </w:cols>
          <w:pgMar w:left="1000" w:top="114"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the Chief Executive Officer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18 U.S.C. Section 1350</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Annual Report on Form 10-K of Privia Health Group, Inc. (the “Company”) for the period ended December 31, 2023, as filed with the U.S. Securities and Exchange Commission (the “Report”), I, Parth Mehrotra, Chief Executive Officer of the Company, hereby certify, pursuant to 18 U.S.C. Section 1350, as adopted pursuant to Section 906 of the Sarbanes-Oxley Act of 2002, that, to my knowledge:</w:t>
      </w:r>
    </w:p>
    <w:p>
      <w:pPr>
        <w:ind w:left="660" w:hanging="328"/>
        <w:spacing w:after="0"/>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7"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2024</w:t>
            </w:r>
          </w:p>
        </w:tc>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Parth Mehrotra</w:t>
            </w:r>
          </w:p>
        </w:tc>
      </w:tr>
      <w:tr>
        <w:trPr>
          <w:trHeight w:val="244"/>
        </w:trPr>
        <w:tc>
          <w:tcPr>
            <w:tcW w:w="54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Parth Mehrotra</w:t>
            </w:r>
          </w:p>
        </w:tc>
      </w:tr>
      <w:tr>
        <w:trPr>
          <w:trHeight w:val="258"/>
        </w:trPr>
        <w:tc>
          <w:tcPr>
            <w:tcW w:w="542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11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the Chief Financial Officer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18 U.S.C. Section 1350</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Annual Report on Form 10-K of Privia Health Group, Inc. (the “Company”) for the period ended December 31, 2023, as filed with the U.S. Securities and Exchange Commission (the “Report”), I, David Mountcastle, Executive Vice President and Chief Financial Officer of the Company, hereby certify, pursuant to 18 U.S.C. Section 1350, as adopted pursuant to Section 906 of the Sarbanes-Oxley Act of 2002, that, to my knowledge:</w:t>
      </w:r>
    </w:p>
    <w:p>
      <w:pPr>
        <w:ind w:left="660" w:hanging="328"/>
        <w:spacing w:after="0"/>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7" w:lineRule="exact"/>
        <w:rPr>
          <w:rFonts w:ascii="Times New Roman" w:cs="Times New Roman" w:eastAsia="Times New Roman" w:hAnsi="Times New Roman"/>
          <w:sz w:val="20"/>
          <w:szCs w:val="20"/>
          <w:color w:val="auto"/>
        </w:rPr>
      </w:pPr>
    </w:p>
    <w:p>
      <w:pPr>
        <w:ind w:left="660" w:hanging="328"/>
        <w:spacing w:after="0" w:line="283"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27, 2024</w:t>
            </w:r>
          </w:p>
        </w:tc>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David Mountcastle</w:t>
            </w:r>
          </w:p>
        </w:tc>
      </w:tr>
      <w:tr>
        <w:trPr>
          <w:trHeight w:val="244"/>
        </w:trPr>
        <w:tc>
          <w:tcPr>
            <w:tcW w:w="5020" w:type="dxa"/>
            <w:vAlign w:val="bottom"/>
          </w:tcPr>
          <w:p>
            <w:pPr>
              <w:spacing w:after="0"/>
              <w:rPr>
                <w:sz w:val="21"/>
                <w:szCs w:val="21"/>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David Mountcastle</w:t>
            </w:r>
          </w:p>
        </w:tc>
      </w:tr>
      <w:tr>
        <w:trPr>
          <w:trHeight w:val="258"/>
        </w:trPr>
        <w:tc>
          <w:tcPr>
            <w:tcW w:w="5020" w:type="dxa"/>
            <w:vAlign w:val="bottom"/>
          </w:tcPr>
          <w:p>
            <w:pPr>
              <w:spacing w:after="0"/>
              <w:rPr>
                <w:sz w:val="22"/>
                <w:szCs w:val="22"/>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bl>
    <w:p>
      <w:pPr>
        <w:sectPr>
          <w:pgSz w:w="11900" w:h="16838" w:orient="portrait"/>
          <w:cols w:equalWidth="0" w:num="1">
            <w:col w:w="11240"/>
          </w:cols>
          <w:pgMar w:left="320" w:top="11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NOTICE OF PRIVIA HEALTH GROUP, INC. POLICY FOR RECOVERY OF ERRONEOUSLY AWARDED COMPENSATION</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Attached hereto is a copy of the Privia Health Group, Inc. Policy for Recovery of Erroneously Awarded Compensation (as may be amended, restated, supplemented or otherwise modified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but not otherwise defined in this Acknowledgement Form (this “</w:t>
      </w:r>
      <w:r>
        <w:rPr>
          <w:rFonts w:ascii="Times New Roman" w:cs="Times New Roman" w:eastAsia="Times New Roman" w:hAnsi="Times New Roman"/>
          <w:sz w:val="22"/>
          <w:szCs w:val="22"/>
          <w:b w:val="1"/>
          <w:bCs w:val="1"/>
          <w:i w:val="1"/>
          <w:i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1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By virtue of your employment as an Officer of the Company, you are and will continue to be subject to the Policy and all Other Recovery Arrangements (including, but not limited to, the Company’s Discretionary Policy for Recovery of Incentive Compensation (the “</w:t>
      </w:r>
      <w:r>
        <w:rPr>
          <w:rFonts w:ascii="Times New Roman" w:cs="Times New Roman" w:eastAsia="Times New Roman" w:hAnsi="Times New Roman"/>
          <w:sz w:val="21"/>
          <w:szCs w:val="21"/>
          <w:b w:val="1"/>
          <w:bCs w:val="1"/>
          <w:i w:val="1"/>
          <w:iCs w:val="1"/>
          <w:color w:val="auto"/>
        </w:rPr>
        <w:t>Discretionary Policy</w:t>
      </w:r>
      <w:r>
        <w:rPr>
          <w:rFonts w:ascii="Times New Roman" w:cs="Times New Roman" w:eastAsia="Times New Roman" w:hAnsi="Times New Roman"/>
          <w:sz w:val="21"/>
          <w:szCs w:val="21"/>
          <w:color w:val="auto"/>
        </w:rPr>
        <w:t>”)) and that the Policy and all Other Recovery Arrangements will apply both during and after your employment with the Company or any of its affiliates. You must abide by the terms of the Policy and all Other Recovery Arrangements, including by returning any Erroneously Awarded Compensation (or “Incentive Compensation” as defined in the Discretionary Policy) to the Company to the extent required by, and in a manner permitted by, the Policy or Other Recovery Arrangements. For the avoidance of doubt, failure to reference the Policy or any other Recovery Arrangement in any award of Incentive-Based Compensation shall not preclude the application of this Policy or any other Recovery Arrangement.</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In the event of any inconsistency between the Policy or any other Recovery Arrangement and the terms of any employment agreement to which you are a party, or the terms of any compensation plan, program or agreement under which any compensation has been granted, awarded, earned or paid to or by you, the terms of the Policy or any other Recovery Arrangement shall govern.</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Calibri" w:cs="Calibri" w:eastAsia="Calibri" w:hAnsi="Calibri"/>
          <w:sz w:val="13"/>
          <w:szCs w:val="13"/>
          <w:color w:val="auto"/>
        </w:rPr>
        <w:t>US-LEGAL-12094327 177206-0002</w:t>
      </w:r>
    </w:p>
    <w:p>
      <w:pPr>
        <w:sectPr>
          <w:pgSz w:w="11900" w:h="16838" w:orient="portrait"/>
          <w:cols w:equalWidth="0" w:num="1">
            <w:col w:w="11240"/>
          </w:cols>
          <w:pgMar w:left="320" w:top="10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PRIVIA HEALTH GROUP, INC. POLICY FOR RECOVERY OF ERRONEOUSLY AWARDED COMPENSATION</w:t>
      </w:r>
    </w:p>
    <w:p>
      <w:pPr>
        <w:spacing w:after="0" w:line="17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1"/>
          <w:szCs w:val="21"/>
          <w:color w:val="auto"/>
        </w:rPr>
        <w:t>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Privia Health Group,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adopted this Policy for Recovery of Erroneously Awarded Compensation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effective as of November 29,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Except as otherwise determined by the Committee or the Board, this Policy is intended to apply in addition to any Other Recovery Arrangement. Capitalized terms used in this Policy but not otherwise defined herein are defined in Section 1. Each Officer acknowledges that by virtue of his or her employment with the Company, he or she is bound by the terms of this Policy.</w:t>
      </w:r>
    </w:p>
    <w:p>
      <w:pPr>
        <w:spacing w:after="0" w:line="146"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7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stockholder return.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Impracticable</w:t>
      </w:r>
      <w:r>
        <w:rPr>
          <w:rFonts w:ascii="Times New Roman" w:cs="Times New Roman" w:eastAsia="Times New Roman" w:hAnsi="Times New Roman"/>
          <w:sz w:val="21"/>
          <w:szCs w:val="21"/>
          <w:color w:val="auto"/>
        </w:rPr>
        <w:t>” means (a) (i)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w:t>
      </w:r>
    </w:p>
    <w:p>
      <w:pPr>
        <w:spacing w:after="0" w:line="1" w:lineRule="exact"/>
        <w:rPr>
          <w:sz w:val="20"/>
          <w:szCs w:val="20"/>
          <w:color w:val="auto"/>
        </w:rPr>
      </w:pPr>
    </w:p>
    <w:p>
      <w:pPr>
        <w:jc w:val="both"/>
        <w:ind w:left="200" w:hanging="197"/>
        <w:spacing w:after="0" w:line="214" w:lineRule="auto"/>
        <w:rPr>
          <w:sz w:val="20"/>
          <w:szCs w:val="20"/>
          <w:color w:val="auto"/>
        </w:rPr>
      </w:pPr>
      <w:r>
        <w:rPr>
          <w:rFonts w:ascii="Times New Roman" w:cs="Times New Roman" w:eastAsia="Times New Roman" w:hAnsi="Times New Roman"/>
          <w:sz w:val="21"/>
          <w:szCs w:val="21"/>
          <w:color w:val="auto"/>
        </w:rPr>
        <w:t xml:space="preserve">pursuant to an opinion of home country counsel; provided that the Company has (i) obtained an opinion of home country counsel, </w:t>
      </w:r>
      <w:r>
        <w:rPr>
          <w:rFonts w:ascii="Times New Roman" w:cs="Times New Roman" w:eastAsia="Times New Roman" w:hAnsi="Times New Roman"/>
          <w:sz w:val="18"/>
          <w:szCs w:val="18"/>
          <w:color w:val="auto"/>
        </w:rPr>
        <w:t>2</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3"/>
          <w:szCs w:val="13"/>
          <w:color w:val="auto"/>
        </w:rPr>
        <w:t>US-LEGAL-12094327 177206-0002</w:t>
      </w:r>
    </w:p>
    <w:p>
      <w:pPr>
        <w:sectPr>
          <w:pgSz w:w="11900" w:h="16838" w:orient="portrait"/>
          <w:cols w:equalWidth="0" w:num="1">
            <w:col w:w="11240"/>
          </w:cols>
          <w:pgMar w:left="320" w:top="10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employees of the Company or any of its affiliates, to fail to meet the requirements of 26 U.S.C. 401(a)(13) or 26 U.S.C. 411(a) and the regulations thereunder.</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4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(a) in previously issued financial statements that is material to the Company’s previously issued financial statements; or (b) that would result in a material misstatement if the error were corrected in the current period or left uncorrected in the current period.</w:t>
      </w:r>
    </w:p>
    <w:p>
      <w:pPr>
        <w:spacing w:after="0" w:line="1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150"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This Policy shall apply to all current and former Officers of the Company who received Incentive-Based Compensation subject to this Policy as set forth in Section 3.</w:t>
      </w:r>
    </w:p>
    <w:p>
      <w:pPr>
        <w:spacing w:after="0" w:line="146"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October 2, 2023. For purposes of this Policy, the date on which Incentive-Based Compensation is “received” shall be determined under the Applicable Rules, which generally provide that Incentive-Based Compensation is “received” when the relevant Financial Reporting Measure is attained or satisfied, without regard to whether the grant, vesting or payment of the Incentive-Based Compensation occurs after the end of that period.</w:t>
      </w:r>
    </w:p>
    <w:p>
      <w:pPr>
        <w:spacing w:after="0" w:line="148"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157"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w:t>
      </w:r>
    </w:p>
    <w:p>
      <w:pPr>
        <w:jc w:val="both"/>
        <w:spacing w:after="0" w:line="186" w:lineRule="auto"/>
        <w:rPr>
          <w:sz w:val="20"/>
          <w:szCs w:val="20"/>
          <w:color w:val="auto"/>
        </w:rPr>
      </w:pPr>
      <w:r>
        <w:rPr>
          <w:rFonts w:ascii="Times New Roman" w:cs="Times New Roman" w:eastAsia="Times New Roman" w:hAnsi="Times New Roman"/>
          <w:sz w:val="21"/>
          <w:szCs w:val="21"/>
          <w:color w:val="auto"/>
        </w:rPr>
        <w:t>portion</w:t>
      </w:r>
      <w:r>
        <w:rPr>
          <w:rFonts w:ascii="Times New Roman" w:cs="Times New Roman" w:eastAsia="Times New Roman" w:hAnsi="Times New Roman"/>
          <w:sz w:val="38"/>
          <w:szCs w:val="38"/>
          <w:color w:val="auto"/>
          <w:vertAlign w:val="superscript"/>
        </w:rPr>
        <w:t>3</w:t>
      </w:r>
      <w:r>
        <w:rPr>
          <w:rFonts w:ascii="Times New Roman" w:cs="Times New Roman" w:eastAsia="Times New Roman" w:hAnsi="Times New Roman"/>
          <w:sz w:val="21"/>
          <w:szCs w:val="21"/>
          <w:color w:val="auto"/>
        </w:rPr>
        <w:t xml:space="preserve">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3"/>
          <w:szCs w:val="13"/>
          <w:color w:val="auto"/>
        </w:rPr>
        <w:t>US-LEGAL-12094327 177206-0002</w:t>
      </w:r>
    </w:p>
    <w:p>
      <w:pPr>
        <w:sectPr>
          <w:pgSz w:w="11900" w:h="16838" w:orient="portrait"/>
          <w:cols w:equalWidth="0" w:num="1">
            <w:col w:w="11240"/>
          </w:cols>
          <w:pgMar w:left="320" w:top="10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48"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18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or an affiliate of the Company pursuant to Sarbanes-Oxley Act Section 304 or Other Recovery Arrangements, the amount of Erroneously Awarded Compensation already recovered by the Company or an affiliate of the Company from the recipient of such Erroneously Awarded Compensation may be credited to the amount of Erroneously Awarded Compensation required to be recovered pursuant to this Policy from such person. Any reduction, cancellation or forfeiture of any compensation shall be done in compliance with Section 409A of the Internal Revenue Code of 1986, as amended.</w:t>
      </w:r>
    </w:p>
    <w:p>
      <w:pPr>
        <w:spacing w:after="0" w:line="148"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18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and their stockholders and employees. The Committee may delegate administrative duties with respect to this Policy to one or more directors or employees of the Company, as permitted under applicable law, including the Applicable Rules.</w:t>
      </w:r>
    </w:p>
    <w:p>
      <w:pPr>
        <w:spacing w:after="0" w:line="152"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49"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146"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and its affiliates shall not indemnify or insure any person against the loss of any Erroneously Awarded</w:t>
      </w:r>
    </w:p>
    <w:p>
      <w:pPr>
        <w:jc w:val="both"/>
        <w:spacing w:after="0" w:line="186" w:lineRule="auto"/>
        <w:rPr>
          <w:sz w:val="20"/>
          <w:szCs w:val="20"/>
          <w:color w:val="auto"/>
        </w:rPr>
      </w:pPr>
      <w:r>
        <w:rPr>
          <w:rFonts w:ascii="Times New Roman" w:cs="Times New Roman" w:eastAsia="Times New Roman" w:hAnsi="Times New Roman"/>
          <w:sz w:val="21"/>
          <w:szCs w:val="21"/>
          <w:color w:val="auto"/>
        </w:rPr>
        <w:t>Compensation</w:t>
      </w:r>
      <w:r>
        <w:rPr>
          <w:rFonts w:ascii="Times New Roman" w:cs="Times New Roman" w:eastAsia="Times New Roman" w:hAnsi="Times New Roman"/>
          <w:sz w:val="38"/>
          <w:szCs w:val="38"/>
          <w:color w:val="auto"/>
          <w:vertAlign w:val="superscript"/>
        </w:rPr>
        <w:t>4</w:t>
      </w:r>
      <w:r>
        <w:rPr>
          <w:rFonts w:ascii="Times New Roman" w:cs="Times New Roman" w:eastAsia="Times New Roman" w:hAnsi="Times New Roman"/>
          <w:sz w:val="21"/>
          <w:szCs w:val="21"/>
          <w:color w:val="auto"/>
        </w:rPr>
        <w:t xml:space="preserve"> pursuant to this Policy, nor shall the Company or any of its affiliates directly or indirectly pay or reimburse any person for any premiums for third-party insurance policies that such person may elect to purchase to fund such person’s potential obligations under this Policy. None of the Company, any affiliate of the Company, any member</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3"/>
          <w:szCs w:val="13"/>
          <w:color w:val="auto"/>
        </w:rPr>
        <w:t>US-LEGAL-12094327 177206-0002</w:t>
      </w:r>
    </w:p>
    <w:p>
      <w:pPr>
        <w:sectPr>
          <w:pgSz w:w="11900" w:h="16838" w:orient="portrait"/>
          <w:cols w:equalWidth="0" w:num="1">
            <w:col w:w="11240"/>
          </w:cols>
          <w:pgMar w:left="320" w:top="10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of the Committee or the Board or any employees of the Company who assist in the administration of this Policy shall have any liability to any person as a result of actions taken under this Policy and shall be fully indemnified by the Company to the fullest extent under applicable law and Company policy with respect to any action, determination or interpretation made with respect to this Policy. The foregoing sentence shall not limit any other rights to indemnification of the members of the Board under applicable law or Company policy.</w:t>
      </w:r>
    </w:p>
    <w:p>
      <w:pPr>
        <w:spacing w:after="0" w:line="148"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52"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48" w:lineRule="exact"/>
        <w:rPr>
          <w:sz w:val="20"/>
          <w:szCs w:val="20"/>
          <w:color w:val="auto"/>
        </w:rPr>
      </w:pPr>
    </w:p>
    <w:p>
      <w:pPr>
        <w:ind w:left="640" w:hanging="308"/>
        <w:spacing w:after="0"/>
        <w:tabs>
          <w:tab w:leader="none" w:pos="6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18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The Board or the Committee may amend, modify or terminate this Policy in whole or in part at any time and from time to time in its sole discretion, including as and when it determines that it is legally required to by any United States securities laws, Securities and Exchange Commission rules or any rules promulgated by any national securities exchange or association on which the Company’s securities are listed (including the Applicable Rules). Notwithstanding anything in this Section 11 to the contrary, no amendment or termination of this Policy shall be effective if such amendment or termination would (after taking into account any actions taken by the Company contemporaneously with such amendment or termination) cause the Company to violate any United States securities laws, Securities and Exchange Commission rules or any rules promulgated by any national securities exchange or association on which the Company’s securities are listed (including the Applicable Rules). This Policy will terminate automatically when the Company does not have a class of securities listed on a national securities exchange or association.</w:t>
      </w:r>
    </w:p>
    <w:p>
      <w:pPr>
        <w:spacing w:after="0" w:line="146"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This Policy shall be binding and enforceable against all current and former Officers and their beneficiaries, heirs, executors, administrators or other legal representatives.</w:t>
      </w:r>
    </w:p>
    <w:p>
      <w:pPr>
        <w:spacing w:after="0" w:line="146"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Venue</w:t>
      </w:r>
    </w:p>
    <w:p>
      <w:pPr>
        <w:spacing w:after="0" w:line="183" w:lineRule="exact"/>
        <w:rPr>
          <w:sz w:val="20"/>
          <w:szCs w:val="20"/>
          <w:color w:val="auto"/>
        </w:rPr>
      </w:pPr>
    </w:p>
    <w:p>
      <w:pPr>
        <w:jc w:val="both"/>
        <w:ind w:firstLine="206"/>
        <w:spacing w:after="0" w:line="184" w:lineRule="auto"/>
        <w:tabs>
          <w:tab w:leader="none" w:pos="648" w:val="left"/>
        </w:tabs>
        <w:numPr>
          <w:ilvl w:val="0"/>
          <w:numId w:val="10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1"/>
          <w:szCs w:val="21"/>
          <w:color w:val="auto"/>
        </w:rPr>
        <w:t>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w:t>
      </w:r>
    </w:p>
    <w:p>
      <w:pPr>
        <w:spacing w:after="0" w:line="130" w:lineRule="exact"/>
        <w:rPr>
          <w:sz w:val="20"/>
          <w:szCs w:val="20"/>
          <w:color w:val="auto"/>
        </w:rPr>
      </w:pPr>
    </w:p>
    <w:p>
      <w:pPr>
        <w:ind w:left="20"/>
        <w:spacing w:after="0"/>
        <w:rPr>
          <w:sz w:val="20"/>
          <w:szCs w:val="20"/>
          <w:color w:val="auto"/>
        </w:rPr>
      </w:pPr>
      <w:r>
        <w:rPr>
          <w:rFonts w:ascii="Calibri" w:cs="Calibri" w:eastAsia="Calibri" w:hAnsi="Calibri"/>
          <w:sz w:val="13"/>
          <w:szCs w:val="13"/>
          <w:color w:val="auto"/>
        </w:rPr>
        <w:t>US-LEGAL-12094327 177206-0002</w:t>
      </w:r>
    </w:p>
    <w:p>
      <w:pPr>
        <w:sectPr>
          <w:pgSz w:w="11900" w:h="16838" w:orient="portrait"/>
          <w:cols w:equalWidth="0" w:num="1">
            <w:col w:w="11240"/>
          </w:cols>
          <w:pgMar w:left="320" w:top="10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out of or relating to this Policy shall be heard and determined exclusively in the Court of Chancery of the State of Delaware or, if such court declines to exercise jurisdiction or if subject matter jurisdiction over the matter that is the subject of any such legal action</w:t>
      </w:r>
      <w:r>
        <w:rPr>
          <w:rFonts w:ascii="Times New Roman" w:cs="Times New Roman" w:eastAsia="Times New Roman" w:hAnsi="Times New Roman"/>
          <w:sz w:val="39"/>
          <w:szCs w:val="39"/>
          <w:color w:val="auto"/>
          <w:vertAlign w:val="superscript"/>
        </w:rPr>
        <w:t>6</w:t>
      </w:r>
      <w:r>
        <w:rPr>
          <w:rFonts w:ascii="Times New Roman" w:cs="Times New Roman" w:eastAsia="Times New Roman" w:hAnsi="Times New Roman"/>
          <w:sz w:val="22"/>
          <w:szCs w:val="22"/>
          <w:color w:val="auto"/>
        </w:rPr>
        <w:t xml:space="preserve"> or proceeding is vested exclusively in the U.S. federal courts, the U.S. District Court for the District of Delaware.</w:t>
      </w:r>
    </w:p>
    <w:p>
      <w:pPr>
        <w:spacing w:after="0" w:line="372" w:lineRule="exact"/>
        <w:rPr>
          <w:sz w:val="20"/>
          <w:szCs w:val="20"/>
          <w:color w:val="auto"/>
        </w:rPr>
      </w:pPr>
    </w:p>
    <w:p>
      <w:pPr>
        <w:ind w:left="20"/>
        <w:spacing w:after="0"/>
        <w:rPr>
          <w:sz w:val="20"/>
          <w:szCs w:val="20"/>
          <w:color w:val="auto"/>
        </w:rPr>
      </w:pPr>
      <w:r>
        <w:rPr>
          <w:rFonts w:ascii="Calibri" w:cs="Calibri" w:eastAsia="Calibri" w:hAnsi="Calibri"/>
          <w:sz w:val="13"/>
          <w:szCs w:val="13"/>
          <w:color w:val="auto"/>
        </w:rPr>
        <w:t>US-LEGAL-12094327 177206-0002</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1)"/>
      <w:numFmt w:val="lowerRoman"/>
      <w:start w:val="2"/>
    </w:lvl>
  </w:abstractNum>
  <w:abstractNum w:abstractNumId="9">
    <w:nsid w:val="39386575"/>
    <w:multiLevelType w:val="hybridMultilevel"/>
    <w:lvl w:ilvl="0">
      <w:lvlJc w:val="left"/>
      <w:lvlText w:val="(%1)"/>
      <w:numFmt w:val="lowerRoman"/>
      <w:start w:val="4"/>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lvl w:ilvl="1">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lvl w:ilvl="1">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lowerRoman"/>
      <w:start w:val="1"/>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1)"/>
      <w:numFmt w:val="lowerLetter"/>
      <w:start w:val="2"/>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lowerLetter"/>
      <w:start w:val="2"/>
    </w:lvl>
  </w:abstractNum>
  <w:abstractNum w:abstractNumId="60">
    <w:nsid w:val="14330624"/>
    <w:multiLevelType w:val="hybridMultilevel"/>
    <w:lvl w:ilvl="0">
      <w:lvlJc w:val="left"/>
      <w:lvlText w:val="%1."/>
      <w:numFmt w:val="lowerRoman"/>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decimal"/>
      <w:start w:val="5"/>
    </w:lvl>
  </w:abstractNum>
  <w:abstractNum w:abstractNumId="67">
    <w:nsid w:val="6F6DD9AC"/>
    <w:multiLevelType w:val="hybridMultilevel"/>
    <w:lvl w:ilvl="0">
      <w:lvlJc w:val="left"/>
      <w:lvlText w:val="(%1)"/>
      <w:numFmt w:val="decimal"/>
      <w:start w:val="12"/>
    </w:lvl>
  </w:abstractNum>
  <w:abstractNum w:abstractNumId="68">
    <w:nsid w:val="94211F2"/>
    <w:multiLevelType w:val="hybridMultilevel"/>
    <w:lvl w:ilvl="0">
      <w:lvlJc w:val="left"/>
      <w:lvlText w:val="%1"/>
      <w:numFmt w:val="decimal"/>
      <w:start w:val="1"/>
    </w:lvl>
    <w:lvl w:ilvl="1">
      <w:lvlJc w:val="left"/>
      <w:lvlText w:val="(%2)"/>
      <w:numFmt w:val="lowerLetter"/>
      <w:start w:val="1"/>
    </w:lvl>
  </w:abstractNum>
  <w:abstractNum w:abstractNumId="69">
    <w:nsid w:val="885E1B"/>
    <w:multiLevelType w:val="hybridMultilevel"/>
    <w:lvl w:ilvl="0">
      <w:lvlJc w:val="left"/>
      <w:lvlText w:val="(%1)"/>
      <w:numFmt w:val="decimal"/>
      <w:start w:val="30"/>
    </w:lvl>
    <w:lvl w:ilvl="1">
      <w:lvlJc w:val="left"/>
      <w:lvlText w:val="(%2)"/>
      <w:numFmt w:val="lowerLetter"/>
      <w:start w:val="2"/>
    </w:lvl>
  </w:abstractNum>
  <w:abstractNum w:abstractNumId="70">
    <w:nsid w:val="76272110"/>
    <w:multiLevelType w:val="hybridMultilevel"/>
    <w:lvl w:ilvl="0">
      <w:lvlJc w:val="left"/>
      <w:lvlText w:val="%1"/>
      <w:numFmt w:val="decimal"/>
      <w:start w:val="1"/>
    </w:lvl>
    <w:lvl w:ilvl="1">
      <w:lvlJc w:val="left"/>
      <w:lvlText w:val="(%2)"/>
      <w:numFmt w:val="lowerLetter"/>
      <w:start w:val="3"/>
    </w:lvl>
  </w:abstractNum>
  <w:abstractNum w:abstractNumId="71">
    <w:nsid w:val="4C04A8AF"/>
    <w:multiLevelType w:val="hybridMultilevel"/>
    <w:lvl w:ilvl="0">
      <w:lvlJc w:val="left"/>
      <w:lvlText w:val="%1."/>
      <w:numFmt w:val="decimal"/>
      <w:start w:val="1"/>
    </w:lvl>
    <w:lvl w:ilvl="1">
      <w:lvlJc w:val="left"/>
      <w:lvlText w:val="%2"/>
      <w:numFmt w:val="lowerLetter"/>
      <w:start w:val="1"/>
    </w:lvl>
  </w:abstractNum>
  <w:abstractNum w:abstractNumId="72">
    <w:nsid w:val="1716703B"/>
    <w:multiLevelType w:val="hybridMultilevel"/>
    <w:lvl w:ilvl="0">
      <w:lvlJc w:val="left"/>
      <w:lvlText w:val="%1."/>
      <w:numFmt w:val="decimal"/>
      <w:start w:val="2"/>
    </w:lvl>
    <w:lvl w:ilvl="1">
      <w:lvlJc w:val="left"/>
      <w:lvlText w:val="(%2)"/>
      <w:numFmt w:val="lowerLetter"/>
      <w:start w:val="1"/>
    </w:lvl>
  </w:abstractNum>
  <w:abstractNum w:abstractNumId="73">
    <w:nsid w:val="14E17E33"/>
    <w:multiLevelType w:val="hybridMultilevel"/>
    <w:lvl w:ilvl="0">
      <w:lvlJc w:val="left"/>
      <w:lvlText w:val="%1"/>
      <w:numFmt w:val="lowerLetter"/>
      <w:start w:val="1"/>
    </w:lvl>
    <w:lvl w:ilvl="1">
      <w:lvlJc w:val="left"/>
      <w:lvlText w:val="(%2)"/>
      <w:numFmt w:val="lowerLetter"/>
      <w:start w:val="2"/>
    </w:lvl>
  </w:abstractNum>
  <w:abstractNum w:abstractNumId="74">
    <w:nsid w:val="3222E7CD"/>
    <w:multiLevelType w:val="hybridMultilevel"/>
    <w:lvl w:ilvl="0">
      <w:lvlJc w:val="left"/>
      <w:lvlText w:val="(%1)"/>
      <w:numFmt w:val="lowerLetter"/>
      <w:start w:val="61"/>
    </w:lvl>
    <w:lvl w:ilvl="1">
      <w:lvlJc w:val="left"/>
      <w:lvlText w:val="(%2)"/>
      <w:numFmt w:val="lowerLetter"/>
      <w:start w:val="3"/>
    </w:lvl>
  </w:abstractNum>
  <w:abstractNum w:abstractNumId="75">
    <w:nsid w:val="74DE0EE3"/>
    <w:multiLevelType w:val="hybridMultilevel"/>
    <w:lvl w:ilvl="0">
      <w:lvlJc w:val="left"/>
      <w:lvlText w:val="%1."/>
      <w:numFmt w:val="decimal"/>
      <w:start w:val="6"/>
    </w:lvl>
  </w:abstractNum>
  <w:abstractNum w:abstractNumId="76">
    <w:nsid w:val="68EBC550"/>
    <w:multiLevelType w:val="hybridMultilevel"/>
    <w:lvl w:ilvl="0">
      <w:lvlJc w:val="left"/>
      <w:lvlText w:val="%1."/>
      <w:numFmt w:val="decimal"/>
      <w:start w:val="8"/>
    </w:lvl>
  </w:abstractNum>
  <w:abstractNum w:abstractNumId="77">
    <w:nsid w:val="2DF6D648"/>
    <w:multiLevelType w:val="hybridMultilevel"/>
    <w:lvl w:ilvl="0">
      <w:lvlJc w:val="left"/>
      <w:lvlText w:val="%1."/>
      <w:numFmt w:val="decimal"/>
      <w:start w:val="10"/>
    </w:lvl>
  </w:abstractNum>
  <w:abstractNum w:abstractNumId="78">
    <w:nsid w:val="46B7D447"/>
    <w:multiLevelType w:val="hybridMultilevel"/>
    <w:lvl w:ilvl="0">
      <w:lvlJc w:val="left"/>
      <w:lvlText w:val="%1."/>
      <w:numFmt w:val="decimal"/>
      <w:start w:val="12"/>
    </w:lvl>
  </w:abstractNum>
  <w:abstractNum w:abstractNumId="79">
    <w:nsid w:val="4A2AC315"/>
    <w:multiLevelType w:val="hybridMultilevel"/>
    <w:lvl w:ilvl="0">
      <w:lvlJc w:val="left"/>
      <w:lvlText w:val="%1."/>
      <w:numFmt w:val="decimal"/>
      <w:start w:val="18"/>
    </w:lvl>
  </w:abstractNum>
  <w:abstractNum w:abstractNumId="80">
    <w:nsid w:val="39EE015C"/>
    <w:multiLevelType w:val="hybridMultilevel"/>
    <w:lvl w:ilvl="0">
      <w:lvlJc w:val="left"/>
      <w:lvlText w:val="%1."/>
      <w:numFmt w:val="decimal"/>
      <w:start w:val="19"/>
    </w:lvl>
  </w:abstractNum>
  <w:abstractNum w:abstractNumId="81">
    <w:nsid w:val="57FC4FBB"/>
    <w:multiLevelType w:val="hybridMultilevel"/>
    <w:lvl w:ilvl="0">
      <w:lvlJc w:val="left"/>
      <w:lvlText w:val="%1"/>
      <w:numFmt w:val="decimal"/>
      <w:start w:val="21"/>
    </w:lvl>
  </w:abstractNum>
  <w:abstractNum w:abstractNumId="82">
    <w:nsid w:val="CC1016F"/>
    <w:multiLevelType w:val="hybridMultilevel"/>
    <w:lvl w:ilvl="0">
      <w:lvlJc w:val="left"/>
      <w:lvlText w:val="%1."/>
      <w:numFmt w:val="decimal"/>
      <w:start w:val="20"/>
    </w:lvl>
  </w:abstractNum>
  <w:abstractNum w:abstractNumId="83">
    <w:nsid w:val="43F18422"/>
    <w:multiLevelType w:val="hybridMultilevel"/>
    <w:lvl w:ilvl="0">
      <w:lvlJc w:val="left"/>
      <w:lvlText w:val="%1."/>
      <w:numFmt w:val="decimal"/>
      <w:start w:val="22"/>
    </w:lvl>
  </w:abstractNum>
  <w:abstractNum w:abstractNumId="84">
    <w:nsid w:val="60EF0119"/>
    <w:multiLevelType w:val="hybridMultilevel"/>
    <w:lvl w:ilvl="0">
      <w:lvlJc w:val="left"/>
      <w:lvlText w:val="•"/>
      <w:numFmt w:val="bullet"/>
      <w:start w:val="1"/>
    </w:lvl>
    <w:lvl w:ilvl="1">
      <w:lvlJc w:val="left"/>
      <w:lvlText w:val="◦"/>
      <w:numFmt w:val="bullet"/>
      <w:start w:val="1"/>
    </w:lvl>
  </w:abstractNum>
  <w:abstractNum w:abstractNumId="85">
    <w:nsid w:val="26F324BA"/>
    <w:multiLevelType w:val="hybridMultilevel"/>
    <w:lvl w:ilvl="0">
      <w:lvlJc w:val="left"/>
      <w:lvlText w:val="%1."/>
      <w:numFmt w:val="decimal"/>
      <w:start w:val="1"/>
    </w:lvl>
    <w:lvl w:ilvl="1">
      <w:lvlJc w:val="left"/>
      <w:lvlText w:val="%2."/>
      <w:numFmt w:val="lowerLetter"/>
      <w:start w:val="1"/>
    </w:lvl>
  </w:abstractNum>
  <w:abstractNum w:abstractNumId="86">
    <w:nsid w:val="7F01579B"/>
    <w:multiLevelType w:val="hybridMultilevel"/>
    <w:lvl w:ilvl="0">
      <w:lvlJc w:val="left"/>
      <w:lvlText w:val="%1."/>
      <w:numFmt w:val="decimal"/>
      <w:start w:val="1"/>
    </w:lvl>
    <w:lvl w:ilvl="1">
      <w:lvlJc w:val="left"/>
      <w:lvlText w:val="%2."/>
      <w:numFmt w:val="lowerLetter"/>
      <w:start w:val="1"/>
    </w:lvl>
  </w:abstractNum>
  <w:abstractNum w:abstractNumId="87">
    <w:nsid w:val="49DA307D"/>
    <w:multiLevelType w:val="hybridMultilevel"/>
    <w:lvl w:ilvl="0">
      <w:lvlJc w:val="left"/>
      <w:lvlText w:val="%1."/>
      <w:numFmt w:val="decimal"/>
      <w:start w:val="1"/>
    </w:lvl>
  </w:abstractNum>
  <w:abstractNum w:abstractNumId="88">
    <w:nsid w:val="7055A5F5"/>
    <w:multiLevelType w:val="hybridMultilevel"/>
    <w:lvl w:ilvl="0">
      <w:lvlJc w:val="left"/>
      <w:lvlText w:val="%1."/>
      <w:numFmt w:val="decimal"/>
      <w:start w:val="1"/>
    </w:lvl>
  </w:abstractNum>
  <w:abstractNum w:abstractNumId="89">
    <w:nsid w:val="5FB8370B"/>
    <w:multiLevelType w:val="hybridMultilevel"/>
    <w:lvl w:ilvl="0">
      <w:lvlJc w:val="left"/>
      <w:lvlText w:val="%1."/>
      <w:numFmt w:val="decimal"/>
      <w:start w:val="1"/>
    </w:lvl>
  </w:abstractNum>
  <w:abstractNum w:abstractNumId="90">
    <w:nsid w:val="50801EE1"/>
    <w:multiLevelType w:val="hybridMultilevel"/>
    <w:lvl w:ilvl="0">
      <w:lvlJc w:val="left"/>
      <w:lvlText w:val="%1."/>
      <w:numFmt w:val="decimal"/>
      <w:start w:val="2"/>
    </w:lvl>
  </w:abstractNum>
  <w:abstractNum w:abstractNumId="91">
    <w:nsid w:val="488AC1A"/>
    <w:multiLevelType w:val="hybridMultilevel"/>
    <w:lvl w:ilvl="0">
      <w:lvlJc w:val="left"/>
      <w:lvlText w:val="%1."/>
      <w:numFmt w:val="decimal"/>
      <w:start w:val="3"/>
    </w:lvl>
  </w:abstractNum>
  <w:abstractNum w:abstractNumId="92">
    <w:nsid w:val="5FB8011C"/>
    <w:multiLevelType w:val="hybridMultilevel"/>
    <w:lvl w:ilvl="0">
      <w:lvlJc w:val="left"/>
      <w:lvlText w:val="%1."/>
      <w:numFmt w:val="decimal"/>
      <w:start w:val="4"/>
    </w:lvl>
  </w:abstractNum>
  <w:abstractNum w:abstractNumId="93">
    <w:nsid w:val="6AA78F7F"/>
    <w:multiLevelType w:val="hybridMultilevel"/>
    <w:lvl w:ilvl="0">
      <w:lvlJc w:val="left"/>
      <w:lvlText w:val="%1."/>
      <w:numFmt w:val="decimal"/>
      <w:start w:val="5"/>
    </w:lvl>
  </w:abstractNum>
  <w:abstractNum w:abstractNumId="94">
    <w:nsid w:val="7672BD23"/>
    <w:multiLevelType w:val="hybridMultilevel"/>
    <w:lvl w:ilvl="0">
      <w:lvlJc w:val="left"/>
      <w:lvlText w:val="%1."/>
      <w:numFmt w:val="decimal"/>
      <w:start w:val="6"/>
    </w:lvl>
  </w:abstractNum>
  <w:abstractNum w:abstractNumId="95">
    <w:nsid w:val="6FC75AF8"/>
    <w:multiLevelType w:val="hybridMultilevel"/>
    <w:lvl w:ilvl="0">
      <w:lvlJc w:val="left"/>
      <w:lvlText w:val="%1."/>
      <w:numFmt w:val="decimal"/>
      <w:start w:val="7"/>
    </w:lvl>
  </w:abstractNum>
  <w:abstractNum w:abstractNumId="96">
    <w:nsid w:val="6A5F7029"/>
    <w:multiLevelType w:val="hybridMultilevel"/>
    <w:lvl w:ilvl="0">
      <w:lvlJc w:val="left"/>
      <w:lvlText w:val="%1."/>
      <w:numFmt w:val="decimal"/>
      <w:start w:val="8"/>
    </w:lvl>
  </w:abstractNum>
  <w:abstractNum w:abstractNumId="97">
    <w:nsid w:val="7D5E18F8"/>
    <w:multiLevelType w:val="hybridMultilevel"/>
    <w:lvl w:ilvl="0">
      <w:lvlJc w:val="left"/>
      <w:lvlText w:val="%1."/>
      <w:numFmt w:val="decimal"/>
      <w:start w:val="9"/>
    </w:lvl>
  </w:abstractNum>
  <w:abstractNum w:abstractNumId="98">
    <w:nsid w:val="5F3534A4"/>
    <w:multiLevelType w:val="hybridMultilevel"/>
    <w:lvl w:ilvl="0">
      <w:lvlJc w:val="left"/>
      <w:lvlText w:val="%1."/>
      <w:numFmt w:val="decimal"/>
      <w:start w:val="10"/>
    </w:lvl>
  </w:abstractNum>
  <w:abstractNum w:abstractNumId="99">
    <w:nsid w:val="73A1821B"/>
    <w:multiLevelType w:val="hybridMultilevel"/>
    <w:lvl w:ilvl="0">
      <w:lvlJc w:val="left"/>
      <w:lvlText w:val="%1."/>
      <w:numFmt w:val="decimal"/>
      <w:start w:val="11"/>
    </w:lvl>
  </w:abstractNum>
  <w:abstractNum w:abstractNumId="100">
    <w:nsid w:val="7DE67713"/>
    <w:multiLevelType w:val="hybridMultilevel"/>
    <w:lvl w:ilvl="0">
      <w:lvlJc w:val="left"/>
      <w:lvlText w:val="%1."/>
      <w:numFmt w:val="decimal"/>
      <w:start w:val="12"/>
    </w:lvl>
  </w:abstractNum>
  <w:abstractNum w:abstractNumId="101">
    <w:nsid w:val="555C55B5"/>
    <w:multiLevelType w:val="hybridMultilevel"/>
    <w:lvl w:ilvl="0">
      <w:lvlJc w:val="left"/>
      <w:lvlText w:val="%1."/>
      <w:numFmt w:val="decimal"/>
      <w:start w:val="13"/>
    </w:lvl>
  </w:abstractNum>
  <w:abstractNum w:abstractNumId="102">
    <w:nsid w:val="3FA62ACA"/>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106" Type="http://schemas.openxmlformats.org/officeDocument/2006/relationships/hyperlink" Target="https://www.sec.gov/Archives/edgar/data/1759655/000119312521108380/d92164dex31.htm" TargetMode="External"/><Relationship Id="rId107" Type="http://schemas.openxmlformats.org/officeDocument/2006/relationships/hyperlink" Target="https://www.sec.gov/Archives/edgar/data/1759655/000175965523000181/ex-31thirdamendedandrestat.htm" TargetMode="External"/><Relationship Id="rId108" Type="http://schemas.openxmlformats.org/officeDocument/2006/relationships/hyperlink" Target="https://www.sec.gov/Archives/edgar/data/1759655/000119312521108380/d92164dex41.htm" TargetMode="External"/><Relationship Id="rId109" Type="http://schemas.openxmlformats.org/officeDocument/2006/relationships/hyperlink" Target="http://www.sec.gov/Archives/edgar/data/1759655/000175965522000032/exhibit42descriptionofcapi.htm" TargetMode="External"/><Relationship Id="rId110" Type="http://schemas.openxmlformats.org/officeDocument/2006/relationships/hyperlink" Target="https://www.sec.gov/Archives/edgar/data/1759655/000119312521108380/d92164dex101.htm" TargetMode="External"/><Relationship Id="rId111" Type="http://schemas.openxmlformats.org/officeDocument/2006/relationships/hyperlink" Target="https://www.sec.gov/Archives/edgar/data/1759655/000119312521108380/d92164dex102.htm" TargetMode="External"/><Relationship Id="rId112" Type="http://schemas.openxmlformats.org/officeDocument/2006/relationships/hyperlink" Target="http://www.sec.gov/Archives/edgar/data/1759655/000175965522000118/ex-101shawnmorrisxemployme.htm" TargetMode="External"/><Relationship Id="rId113" Type="http://schemas.openxmlformats.org/officeDocument/2006/relationships/hyperlink" Target="http://www.sec.gov/Archives/edgar/data/1759655/000175965522000118/ex-102shawnmorrisxemployme.htm" TargetMode="External"/><Relationship Id="rId114" Type="http://schemas.openxmlformats.org/officeDocument/2006/relationships/hyperlink" Target="http://www.sec.gov/Archives/edgar/data/1759655/000175965522000118/ex-103shawnmorrisxemployme.htm" TargetMode="External"/><Relationship Id="rId115" Type="http://schemas.openxmlformats.org/officeDocument/2006/relationships/hyperlink" Target="https://www.sec.gov/Archives/edgar/data/1759655/000119312521108380/d92164dex103.htm" TargetMode="External"/><Relationship Id="rId116" Type="http://schemas.openxmlformats.org/officeDocument/2006/relationships/hyperlink" Target="http://www.sec.gov/Archives/edgar/data/1759655/000175965522000118/ex-104parthmehrotraxemploy.htm" TargetMode="External"/><Relationship Id="rId117" Type="http://schemas.openxmlformats.org/officeDocument/2006/relationships/hyperlink" Target="http://www.sec.gov/Archives/edgar/data/1759655/000175965522000032/exhibit104-parthmehrotrame.htm" TargetMode="External"/><Relationship Id="rId118" Type="http://schemas.openxmlformats.org/officeDocument/2006/relationships/hyperlink" Target="http://www.sec.gov/Archives/edgar/data/1759655/000175965522000118/ex-105parthmehrotraxemploy.htm" TargetMode="External"/><Relationship Id="rId119" Type="http://schemas.openxmlformats.org/officeDocument/2006/relationships/hyperlink" Target="http://www.sec.gov/Archives/edgar/data/1759655/000175965522000118/ex-106parthmehrotraxemploy.htm" TargetMode="External"/><Relationship Id="rId120" Type="http://schemas.openxmlformats.org/officeDocument/2006/relationships/hyperlink" Target="https://www.sec.gov/Archives/edgar/data/1759655/000119312521108380/d92164dex104.htm" TargetMode="External"/><Relationship Id="rId121" Type="http://schemas.openxmlformats.org/officeDocument/2006/relationships/hyperlink" Target="http://www.sec.gov/Archives/edgar/data/0001759655/000175965522000027/exhibit101-davidmountcastl.htm" TargetMode="External"/><Relationship Id="rId122" Type="http://schemas.openxmlformats.org/officeDocument/2006/relationships/hyperlink" Target="http://www.sec.gov/Archives/edgar/data/1759655/000175965522000118/ex-107davidmountcastlexemp.htm" TargetMode="External"/><Relationship Id="rId123" Type="http://schemas.openxmlformats.org/officeDocument/2006/relationships/hyperlink" Target="http://www.sec.gov/Archives/edgar/data/1759655/000175965522000032/exhibit106-thomasemploymen.htm" TargetMode="External"/><Relationship Id="rId124" Type="http://schemas.openxmlformats.org/officeDocument/2006/relationships/hyperlink" Target="http://www.sec.gov/Archives/edgar/data/1759655/000175965522000032/exhibit107-thomasemploymen.htm" TargetMode="External"/><Relationship Id="rId125" Type="http://schemas.openxmlformats.org/officeDocument/2006/relationships/hyperlink" Target="http://www.sec.gov/Archives/edgar/data/1759655/000175965522000032/exhibit108-thomasemploymen.htm" TargetMode="External"/><Relationship Id="rId126" Type="http://schemas.openxmlformats.org/officeDocument/2006/relationships/hyperlink" Target="http://www.sec.gov/Archives/edgar/data/1759655/000175965522000118/ex-108thomasbartrumxemploy.htm" TargetMode="External"/><Relationship Id="rId127" Type="http://schemas.openxmlformats.org/officeDocument/2006/relationships/hyperlink" Target="http://www.sec.gov/Archives/edgar/data/0001759655/000175965522000003/ex-101jeffreysshermanemplo.htm" TargetMode="External"/><Relationship Id="rId129" Type="http://schemas.openxmlformats.org/officeDocument/2006/relationships/hyperlink" Target="http://www.sec.gov/Archives/edgar/data/0001759655/000175965522000027/exhibit102-separationandre.htm" TargetMode="External"/><Relationship Id="rId130" Type="http://schemas.openxmlformats.org/officeDocument/2006/relationships/hyperlink" Target="http://www.sec.gov/Archives/edgar/data/0001759655/000119312521148264/d384675dex102.htm" TargetMode="External"/><Relationship Id="rId131" Type="http://schemas.openxmlformats.org/officeDocument/2006/relationships/hyperlink" Target="http://www.sec.gov/Archives/edgar/data/0001759655/000119312521148264/d384675dex101.htm" TargetMode="External"/><Relationship Id="rId132" Type="http://schemas.openxmlformats.org/officeDocument/2006/relationships/hyperlink" Target="https://www.sec.gov/Archives/edgar/data/1759655/000119312521125586/d92164dex107.htm" TargetMode="External"/><Relationship Id="rId133" Type="http://schemas.openxmlformats.org/officeDocument/2006/relationships/hyperlink" Target="https://www.sec.gov/Archives/edgar/data/1759655/000119312521125586/d92164dex108.htm" TargetMode="External"/><Relationship Id="rId134" Type="http://schemas.openxmlformats.org/officeDocument/2006/relationships/hyperlink" Target="https://www.sec.gov/Archives/edgar/data/1759655/000119312521125586/d92164dex109.htm" TargetMode="External"/><Relationship Id="rId135" Type="http://schemas.openxmlformats.org/officeDocument/2006/relationships/hyperlink" Target="https://www.sec.gov/Archives/edgar/data/1759655/000119312521125586/d92164dex1010.htm" TargetMode="External"/><Relationship Id="rId136" Type="http://schemas.openxmlformats.org/officeDocument/2006/relationships/hyperlink" Target="http://www.sec.gov/Archives/edgar/data/0001759655/000175965521000040/exhibit1011-amendmentno1to.htm" TargetMode="External"/><Relationship Id="rId137" Type="http://schemas.openxmlformats.org/officeDocument/2006/relationships/hyperlink" Target="http://www.sec.gov/Archives/edgar/data/0001759655/000175965521000030/exhibit101-priviaxthirda.htm" TargetMode="External"/><Relationship Id="rId138" Type="http://schemas.openxmlformats.org/officeDocument/2006/relationships/hyperlink" Target="http://www.sec.gov/Archives/edgar/data/0001759655/000095010321006304/dp150081_ex9902.htm" TargetMode="External"/><Relationship Id="rId139" Type="http://schemas.openxmlformats.org/officeDocument/2006/relationships/hyperlink" Target="http://www.sec.gov/Archives/edgar/data/0001759655/000095010321006304/dp150081_ex9903.htm" TargetMode="External"/><Relationship Id="rId140" Type="http://schemas.openxmlformats.org/officeDocument/2006/relationships/hyperlink" Target="http://www.sec.gov/Archives/edgar/data/0001759655/000095010321006304/dp150081_ex9904.htm" TargetMode="External"/><Relationship Id="rId141" Type="http://schemas.openxmlformats.org/officeDocument/2006/relationships/hyperlink" Target="http://www.sec.gov/Archives/edgar/data/1759655/000175965522000032/exhibit1020-noticeofmodifi.htm" TargetMode="External"/><Relationship Id="rId142" Type="http://schemas.openxmlformats.org/officeDocument/2006/relationships/hyperlink" Target="https://www.sec.gov/Archives/edgar/data/1759655/000175965523000032/ex101-priviaxnovantxstra.htm" TargetMode="External"/><Relationship Id="rId143" Type="http://schemas.openxmlformats.org/officeDocument/2006/relationships/hyperlink" Target="https://www.sec.gov/Archives/edgar/data/1759655/000175965523000092/exhibit101-psuawardagreeme.htm" TargetMode="External"/><Relationship Id="rId144" Type="http://schemas.openxmlformats.org/officeDocument/2006/relationships/hyperlink" Target="https://www.sec.gov/Archives/edgar/data/1759655/000175965523000138/ex-101mehrotraemploymentag.htm" TargetMode="External"/><Relationship Id="rId145" Type="http://schemas.openxmlformats.org/officeDocument/2006/relationships/hyperlink" Target="https://www.sec.gov/Archives/edgar/data/1759655/000175965523000138/ex-102relativetsrpsuagreem.htm" TargetMode="External"/><Relationship Id="rId146" Type="http://schemas.openxmlformats.org/officeDocument/2006/relationships/hyperlink" Target="https://www.sec.gov/Archives/edgar/data/1759655/000175965523000138/ex-103morristransitionagre.htm" TargetMode="External"/><Relationship Id="rId147" Type="http://schemas.openxmlformats.org/officeDocument/2006/relationships/hyperlink" Target="https://www.sec.gov/Archives/edgar/data/1759655/000175965523000216/ex-101creditagreementdated.htm" TargetMode="External"/><Relationship Id="rId148" Type="http://schemas.openxmlformats.org/officeDocument/2006/relationships/hyperlink" Target="https://www.sec.gov/Archives/edgar/data/1759655/000175965524000011/ex-101transitionletter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2024-02-27T16:10:57Z</dcterms:created>
  <dcterms:modified xsi:type="dcterms:W3CDTF">2024-02-27T16:10:57Z</dcterms:modified>
</cp:coreProperties>
</file>