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Commission file number 001-40365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Privia Health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tbl>
      <w:tblPr>
        <w:tblW w:w="8318" w:type="dxa"/>
        <w:jc w:val="left"/>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884"/>
        <w:gridCol w:w="884"/>
        <w:gridCol w:w="1261"/>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81-3599420</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950 N. Glebe 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Arlington,</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22203</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20" w:after="283"/>
        <w:jc w:val="center"/>
        <w:rPr>
          <w:rFonts w:ascii="Times New Roman;serif" w:hAnsi="Times New Roman;serif"/>
          <w:b/>
          <w:color w:val="000000"/>
          <w:sz w:val="20"/>
        </w:rPr>
      </w:pPr>
      <w:r>
        <w:rPr>
          <w:rFonts w:ascii="Times New Roman;serif" w:hAnsi="Times New Roman;serif"/>
          <w:b/>
          <w:color w:val="000000"/>
          <w:sz w:val="20"/>
        </w:rPr>
        <w:t xml:space="preserve">(571) 366-8850 </w:t>
      </w:r>
    </w:p>
    <w:p>
      <w:pPr>
        <w:pStyle w:val="TextBody"/>
        <w:bidi w:val="0"/>
        <w:spacing w:lineRule="auto" w:line="264" w:before="2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64" w:before="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PRVA</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July 31, 2026, the registrant had outstanding 127,734,207 shares of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641" w:type="dxa"/>
        <w:jc w:val="left"/>
        <w:tblInd w:w="0" w:type="dxa"/>
        <w:tblLayout w:type="fixed"/>
        <w:tblCellMar>
          <w:top w:w="28" w:type="dxa"/>
          <w:left w:w="28" w:type="dxa"/>
          <w:bottom w:w="28" w:type="dxa"/>
          <w:right w:w="28" w:type="dxa"/>
        </w:tblCellMar>
      </w:tblPr>
      <w:tblGrid>
        <w:gridCol w:w="641"/>
        <w:gridCol w:w="562"/>
        <w:gridCol w:w="562"/>
        <w:gridCol w:w="2430"/>
        <w:gridCol w:w="2430"/>
        <w:gridCol w:w="2475"/>
        <w:gridCol w:w="158"/>
        <w:gridCol w:w="158"/>
        <w:gridCol w:w="225"/>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10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0">
              <w:r>
                <w:rPr>
                  <w:rStyle w:val="InternetLink"/>
                  <w:rFonts w:ascii="Times New Roman;serif" w:hAnsi="Times New Roman;serif"/>
                  <w:b/>
                  <w:color w:val="0000FF"/>
                  <w:sz w:val="20"/>
                  <w:u w:val="single"/>
                </w:rPr>
                <w:t>PART I - FINANCIAL INFORMATION</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3">
              <w:r>
                <w:rPr>
                  <w:rStyle w:val="InternetLink"/>
                  <w:rFonts w:ascii="Times New Roman;serif" w:hAnsi="Times New Roman;serif"/>
                  <w:b w:val="false"/>
                  <w:strike w:val="false"/>
                  <w:dstrike w:val="false"/>
                  <w:color w:val="000000"/>
                  <w:sz w:val="20"/>
                  <w:u w:val="none"/>
                  <w:effect w:val="non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3">
              <w:r>
                <w:rPr>
                  <w:rStyle w:val="InternetLink"/>
                  <w:rFonts w:ascii="Times New Roman;serif" w:hAnsi="Times New Roman;serif"/>
                  <w:b w:val="false"/>
                  <w:color w:val="0000FF"/>
                  <w:sz w:val="20"/>
                  <w:u w:val="single"/>
                </w:rPr>
                <w:t>Condensed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13">
              <w:r>
                <w:rPr>
                  <w:rStyle w:val="InternetLink"/>
                  <w:rFonts w:ascii="Times New Roman;serif" w:hAnsi="Times New Roman;serif"/>
                  <w:b w:val="false"/>
                  <w:strike w:val="false"/>
                  <w:dstrike w:val="false"/>
                  <w:color w:val="000000"/>
                  <w:sz w:val="20"/>
                  <w:u w:val="none"/>
                  <w:effect w:val="none"/>
                </w:rPr>
                <w:t>2</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6">
              <w:r>
                <w:rPr>
                  <w:rStyle w:val="InternetLink"/>
                  <w:rFonts w:ascii="Times New Roman;serif" w:hAnsi="Times New Roman;serif"/>
                  <w:b w:val="false"/>
                  <w:color w:val="0000FF"/>
                  <w:sz w:val="20"/>
                  <w:u w:val="single"/>
                </w:rPr>
                <w:t xml:space="preserve">Condensed Consolidated Balance Sheets </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16">
              <w:r>
                <w:rPr>
                  <w:rStyle w:val="InternetLink"/>
                  <w:rFonts w:ascii="Times New Roman;serif" w:hAnsi="Times New Roman;serif"/>
                  <w:b w:val="false"/>
                  <w:strike w:val="false"/>
                  <w:dstrike w:val="false"/>
                  <w:color w:val="000000"/>
                  <w:sz w:val="20"/>
                  <w:u w:val="none"/>
                  <w:effect w:val="none"/>
                </w:rPr>
                <w:t>2</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9">
              <w:r>
                <w:rPr>
                  <w:rStyle w:val="InternetLink"/>
                  <w:rFonts w:ascii="Times New Roman;serif" w:hAnsi="Times New Roman;serif"/>
                  <w:b w:val="false"/>
                  <w:color w:val="0000FF"/>
                  <w:sz w:val="20"/>
                  <w:u w:val="single"/>
                </w:rPr>
                <w:t xml:space="preserve">Condensed Consolidated Statements of Operations </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19">
              <w:r>
                <w:rPr>
                  <w:rStyle w:val="InternetLink"/>
                  <w:rFonts w:ascii="Times New Roman;serif" w:hAnsi="Times New Roman;serif"/>
                  <w:b w:val="false"/>
                  <w:strike w:val="false"/>
                  <w:dstrike w:val="false"/>
                  <w:color w:val="000000"/>
                  <w:sz w:val="20"/>
                  <w:u w:val="none"/>
                  <w:effect w:val="none"/>
                </w:rPr>
                <w:t>3</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22">
              <w:r>
                <w:rPr>
                  <w:rStyle w:val="InternetLink"/>
                  <w:rFonts w:ascii="Times New Roman;serif" w:hAnsi="Times New Roman;serif"/>
                  <w:b w:val="false"/>
                  <w:color w:val="0000FF"/>
                  <w:sz w:val="20"/>
                  <w:u w:val="single"/>
                </w:rPr>
                <w:t xml:space="preserve">Condensed Consolidated Statements of Stockholders’ Equity </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22">
              <w:r>
                <w:rPr>
                  <w:rStyle w:val="InternetLink"/>
                  <w:rFonts w:ascii="Times New Roman;serif" w:hAnsi="Times New Roman;serif"/>
                  <w:b w:val="false"/>
                  <w:strike w:val="false"/>
                  <w:dstrike w:val="false"/>
                  <w:color w:val="000000"/>
                  <w:sz w:val="20"/>
                  <w:u w:val="none"/>
                  <w:effect w:val="none"/>
                </w:rPr>
                <w:t>4</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25">
              <w:r>
                <w:rPr>
                  <w:rStyle w:val="InternetLink"/>
                  <w:rFonts w:ascii="Times New Roman;serif" w:hAnsi="Times New Roman;serif"/>
                  <w:b w:val="false"/>
                  <w:color w:val="0000FF"/>
                  <w:sz w:val="20"/>
                  <w:u w:val="single"/>
                </w:rPr>
                <w:t xml:space="preserve">Condensed Consolidated Statements of Cash Flows </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25">
              <w:r>
                <w:rPr>
                  <w:rStyle w:val="InternetLink"/>
                  <w:rFonts w:ascii="Times New Roman;serif" w:hAnsi="Times New Roman;serif"/>
                  <w:b w:val="false"/>
                  <w:strike w:val="false"/>
                  <w:dstrike w:val="false"/>
                  <w:color w:val="000000"/>
                  <w:sz w:val="20"/>
                  <w:u w:val="none"/>
                  <w:effect w:val="none"/>
                </w:rPr>
                <w:t>5</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28">
              <w:r>
                <w:rPr>
                  <w:rStyle w:val="InternetLink"/>
                  <w:rFonts w:ascii="Times New Roman;serif" w:hAnsi="Times New Roman;serif"/>
                  <w:b w:val="false"/>
                  <w:color w:val="0000FF"/>
                  <w:sz w:val="20"/>
                  <w:u w:val="single"/>
                </w:rPr>
                <w:t>Notes to Condensed Consolidated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28">
              <w:r>
                <w:rPr>
                  <w:rStyle w:val="InternetLink"/>
                  <w:rFonts w:ascii="Times New Roman;serif" w:hAnsi="Times New Roman;serif"/>
                  <w:b w:val="false"/>
                  <w:strike w:val="false"/>
                  <w:dstrike w:val="false"/>
                  <w:color w:val="000000"/>
                  <w:sz w:val="20"/>
                  <w:u w:val="none"/>
                  <w:effect w:val="none"/>
                </w:rPr>
                <w:t>6</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73">
              <w:r>
                <w:rPr>
                  <w:rStyle w:val="InternetLink"/>
                  <w:rFonts w:ascii="Times New Roman;serif" w:hAnsi="Times New Roman;serif"/>
                  <w:b w:val="false"/>
                  <w:strike w:val="false"/>
                  <w:dstrike w:val="false"/>
                  <w:color w:val="000000"/>
                  <w:sz w:val="20"/>
                  <w:u w:val="none"/>
                  <w:effect w:val="non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73">
              <w:r>
                <w:rPr>
                  <w:rStyle w:val="InternetLink"/>
                  <w:rFonts w:ascii="Times New Roman;serif" w:hAnsi="Times New Roman;serif"/>
                  <w:b w:val="false"/>
                  <w:strike w:val="false"/>
                  <w:dstrike w:val="false"/>
                  <w:color w:val="000000"/>
                  <w:sz w:val="20"/>
                  <w:u w:val="none"/>
                  <w:effect w:val="none"/>
                </w:rPr>
                <w:t>18</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09">
              <w:r>
                <w:rPr>
                  <w:rStyle w:val="InternetLink"/>
                  <w:rFonts w:ascii="Times New Roman;serif" w:hAnsi="Times New Roman;serif"/>
                  <w:b w:val="false"/>
                  <w:strike w:val="false"/>
                  <w:dstrike w:val="false"/>
                  <w:color w:val="000000"/>
                  <w:sz w:val="20"/>
                  <w:u w:val="none"/>
                  <w:effect w:val="non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09">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109">
              <w:r>
                <w:rPr>
                  <w:rStyle w:val="InternetLink"/>
                  <w:rFonts w:ascii="Times New Roman;serif" w:hAnsi="Times New Roman;serif"/>
                  <w:b w:val="false"/>
                  <w:strike w:val="false"/>
                  <w:dstrike w:val="false"/>
                  <w:color w:val="000000"/>
                  <w:sz w:val="20"/>
                  <w:u w:val="none"/>
                  <w:effect w:val="none"/>
                </w:rPr>
                <w:t>30</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12">
              <w:r>
                <w:rPr>
                  <w:rStyle w:val="InternetLink"/>
                  <w:rFonts w:ascii="Times New Roman;serif" w:hAnsi="Times New Roman;serif"/>
                  <w:b w:val="false"/>
                  <w:strike w:val="false"/>
                  <w:dstrike w:val="false"/>
                  <w:color w:val="000000"/>
                  <w:sz w:val="20"/>
                  <w:u w:val="none"/>
                  <w:effect w:val="non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12">
              <w:r>
                <w:rPr>
                  <w:rStyle w:val="InternetLink"/>
                  <w:rFonts w:ascii="Times New Roman;serif" w:hAnsi="Times New Roman;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112">
              <w:r>
                <w:rPr>
                  <w:rStyle w:val="InternetLink"/>
                  <w:rFonts w:ascii="Times New Roman;serif" w:hAnsi="Times New Roman;serif"/>
                  <w:b w:val="false"/>
                  <w:strike w:val="false"/>
                  <w:dstrike w:val="false"/>
                  <w:color w:val="000000"/>
                  <w:sz w:val="20"/>
                  <w:u w:val="none"/>
                  <w:effect w:val="none"/>
                </w:rPr>
                <w:t>30</w:t>
              </w:r>
            </w:hyperlink>
          </w:p>
        </w:tc>
      </w:tr>
      <w:tr>
        <w:trPr/>
        <w:tc>
          <w:tcPr>
            <w:tcW w:w="910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15">
              <w:r>
                <w:rPr>
                  <w:rStyle w:val="InternetLink"/>
                  <w:rFonts w:ascii="Times New Roman;serif" w:hAnsi="Times New Roman;serif"/>
                  <w:b/>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18">
              <w:r>
                <w:rPr>
                  <w:rStyle w:val="InternetLink"/>
                  <w:rFonts w:ascii="Times New Roman;serif" w:hAnsi="Times New Roman;serif"/>
                  <w:b w:val="false"/>
                  <w:strike w:val="false"/>
                  <w:dstrike w:val="false"/>
                  <w:color w:val="000000"/>
                  <w:sz w:val="20"/>
                  <w:u w:val="none"/>
                  <w:effect w:val="non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18">
              <w:r>
                <w:rPr>
                  <w:rStyle w:val="InternetLink"/>
                  <w:rFonts w:ascii="Times New Roman;serif" w:hAnsi="Times New Roman;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118">
              <w:r>
                <w:rPr>
                  <w:rStyle w:val="InternetLink"/>
                  <w:rFonts w:ascii="Times New Roman;serif" w:hAnsi="Times New Roman;serif"/>
                  <w:b w:val="false"/>
                  <w:strike w:val="false"/>
                  <w:dstrike w:val="false"/>
                  <w:color w:val="000000"/>
                  <w:sz w:val="20"/>
                  <w:u w:val="none"/>
                  <w:effect w:val="none"/>
                </w:rPr>
                <w:t>30</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21">
              <w:r>
                <w:rPr>
                  <w:rStyle w:val="InternetLink"/>
                  <w:rFonts w:ascii="Times New Roman;serif" w:hAnsi="Times New Roman;serif"/>
                  <w:b w:val="false"/>
                  <w:strike w:val="false"/>
                  <w:dstrike w:val="false"/>
                  <w:color w:val="000000"/>
                  <w:sz w:val="20"/>
                  <w:u w:val="none"/>
                  <w:effect w:val="non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21">
              <w:r>
                <w:rPr>
                  <w:rStyle w:val="InternetLink"/>
                  <w:rFonts w:ascii="Times New Roman;serif" w:hAnsi="Times New Roman;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121">
              <w:r>
                <w:rPr>
                  <w:rStyle w:val="InternetLink"/>
                  <w:rFonts w:ascii="Times New Roman;serif" w:hAnsi="Times New Roman;serif"/>
                  <w:b w:val="false"/>
                  <w:strike w:val="false"/>
                  <w:dstrike w:val="false"/>
                  <w:color w:val="000000"/>
                  <w:sz w:val="20"/>
                  <w:u w:val="none"/>
                  <w:effect w:val="none"/>
                </w:rPr>
                <w:t>30</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24">
              <w:r>
                <w:rPr>
                  <w:rStyle w:val="InternetLink"/>
                  <w:rFonts w:ascii="Times New Roman;serif" w:hAnsi="Times New Roman;serif"/>
                  <w:b w:val="false"/>
                  <w:strike w:val="false"/>
                  <w:dstrike w:val="false"/>
                  <w:color w:val="000000"/>
                  <w:sz w:val="20"/>
                  <w:u w:val="none"/>
                  <w:effect w:val="non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24">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124">
              <w:r>
                <w:rPr>
                  <w:rStyle w:val="InternetLink"/>
                  <w:rFonts w:ascii="Times New Roman;serif" w:hAnsi="Times New Roman;serif"/>
                  <w:b w:val="false"/>
                  <w:strike w:val="false"/>
                  <w:dstrike w:val="false"/>
                  <w:color w:val="000000"/>
                  <w:sz w:val="20"/>
                  <w:u w:val="none"/>
                  <w:effect w:val="none"/>
                </w:rPr>
                <w:t>30</w:t>
              </w:r>
            </w:hyperlink>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27">
              <w:r>
                <w:rPr>
                  <w:rStyle w:val="InternetLink"/>
                  <w:rFonts w:ascii="Times New Roman;serif" w:hAnsi="Times New Roman;serif"/>
                  <w:b w:val="false"/>
                  <w:strike w:val="false"/>
                  <w:dstrike w:val="false"/>
                  <w:color w:val="000000"/>
                  <w:sz w:val="20"/>
                  <w:u w:val="none"/>
                  <w:effect w:val="non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27">
              <w:r>
                <w:rPr>
                  <w:rStyle w:val="InternetLink"/>
                  <w:rFonts w:ascii="Times New Roman;serif" w:hAnsi="Times New Roman;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127">
              <w:r>
                <w:rPr>
                  <w:rStyle w:val="InternetLink"/>
                  <w:rFonts w:ascii="Times New Roman;serif" w:hAnsi="Times New Roman;serif"/>
                  <w:b w:val="false"/>
                  <w:strike w:val="false"/>
                  <w:dstrike w:val="false"/>
                  <w:color w:val="000000"/>
                  <w:sz w:val="20"/>
                  <w:u w:val="none"/>
                  <w:effect w:val="none"/>
                </w:rPr>
                <w:t>31</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33">
              <w:r>
                <w:rPr>
                  <w:rStyle w:val="InternetLink"/>
                  <w:rFonts w:ascii="Times New Roman;serif" w:hAnsi="Times New Roman;serif"/>
                  <w:b w:val="false"/>
                  <w:strike w:val="false"/>
                  <w:dstrike w:val="false"/>
                  <w:color w:val="000000"/>
                  <w:sz w:val="20"/>
                  <w:u w:val="none"/>
                  <w:effect w:val="non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33">
              <w:r>
                <w:rPr>
                  <w:rStyle w:val="InternetLink"/>
                  <w:rFonts w:ascii="Times New Roman;serif" w:hAnsi="Times New Roman;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b0c0f2db3148b9a91c6c035432e0a0_133">
              <w:r>
                <w:rPr>
                  <w:rStyle w:val="InternetLink"/>
                  <w:rFonts w:ascii="Times New Roman;serif" w:hAnsi="Times New Roman;serif"/>
                  <w:b w:val="false"/>
                  <w:strike w:val="false"/>
                  <w:dstrike w:val="false"/>
                  <w:color w:val="000000"/>
                  <w:sz w:val="20"/>
                  <w:u w:val="none"/>
                  <w:effect w:val="none"/>
                </w:rPr>
                <w:t>32</w:t>
              </w:r>
            </w:hyperlink>
          </w:p>
        </w:tc>
      </w:tr>
      <w:tr>
        <w:trPr/>
        <w:tc>
          <w:tcPr>
            <w:tcW w:w="910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3b0c0f2db3148b9a91c6c035432e0a0_136">
              <w:r>
                <w:rPr>
                  <w:rStyle w:val="InternetLink"/>
                  <w:rFonts w:ascii="Times New Roman;serif" w:hAnsi="Times New Roman;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b0c0f2db3148b9a91c6c035432e0a0_136">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INFORMATION REGARDING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risks and uncertainties include factors related to,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heavily regulated industry in which we operate, and any failure by us or our Medical Groups (as defined herein) to comply with applicable healthcare laws and government regulations, which could result in our incurring financial penalties and becoming excluded from participating in government health care programs;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changes in applicable laws, rules or regulations, including with respect to health plans and payers and our relationships with such plans and payers, and provisions that impact Medicare and Medicaid programs;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dependence on relationships with Medical Groups, some of which we do not own;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growth strategy, which may not prove viable and we may not realize expected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difficulties implementing our proprietary end-to-end, cloud-based technology solution (the “Privia Technology Solution”) for Privia Physicians (defined herein) and new Medical Groups;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high level of competition in our industry and any failure by us to compete effectively and innovate;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challenges in successfully establishing a presence in new geographic markets, acquiring entities or assets, or integrating new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reliance on our electronic medical record (“EMR”) vendor, athenahealth, Inc., which the Privia Technology Solution is integrated and built upon;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payer mix of patients and potential decreases in our reimbursement rates from commercial payers, including as a result of consolidation in the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financial and operational impact of our compliance with various complex and changing federal and state privacy and security laws and regulations related to our use, disclosure, and other processing of personal information and protected health information, including the Health Insurance Portability and Accountability Act of 1996, as amended from time to time (collectively, “HIPAA”);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actual and potential cybersecurity incidents or privacy or security breaches involving us, our vendors or other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continued availability of a qualified workforce, including staff at our Medical Groups, and the continued upward pressure on compensation for such workforce;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risk factors described in our Annual Report on Form 10-K for the year ended December 31, 2025 (the “Annual Report”) and our other filings with the Securities and Exchange Commission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Privia Health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2754"/>
        <w:gridCol w:w="2189"/>
        <w:gridCol w:w="2136"/>
        <w:gridCol w:w="211"/>
        <w:gridCol w:w="976"/>
        <w:gridCol w:w="109"/>
        <w:gridCol w:w="109"/>
        <w:gridCol w:w="109"/>
        <w:gridCol w:w="109"/>
        <w:gridCol w:w="236"/>
        <w:gridCol w:w="1093"/>
        <w:gridCol w:w="174"/>
      </w:tblGrid>
      <w:tr>
        <w:trPr/>
        <w:tc>
          <w:tcPr>
            <w:tcW w:w="275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479,685 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911,001 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458,377 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1,369,378 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578,435 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1,000,000,000 and 1,000,000,000 shares authorized; 126,289,983 and 123,604,576 shares issued and outstanding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Privia Health Group, Inc.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737,217 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790,943 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1,369,378 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Privia Health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1508"/>
        <w:gridCol w:w="1151"/>
        <w:gridCol w:w="1127"/>
        <w:gridCol w:w="264"/>
        <w:gridCol w:w="971"/>
        <w:gridCol w:w="120"/>
        <w:gridCol w:w="120"/>
        <w:gridCol w:w="120"/>
        <w:gridCol w:w="120"/>
        <w:gridCol w:w="264"/>
        <w:gridCol w:w="971"/>
        <w:gridCol w:w="120"/>
        <w:gridCol w:w="109"/>
        <w:gridCol w:w="109"/>
        <w:gridCol w:w="109"/>
        <w:gridCol w:w="214"/>
        <w:gridCol w:w="993"/>
        <w:gridCol w:w="110"/>
        <w:gridCol w:w="110"/>
        <w:gridCol w:w="110"/>
        <w:gridCol w:w="110"/>
        <w:gridCol w:w="214"/>
        <w:gridCol w:w="993"/>
        <w:gridCol w:w="168"/>
      </w:tblGrid>
      <w:tr>
        <w:trPr/>
        <w:tc>
          <w:tcPr>
            <w:tcW w:w="15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expense</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platform</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620,857 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992,696 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Privia Health Group, Inc.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Privia Health Group, Inc. stockholders – basic</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Privia Health Group, Inc. stockholders – diluted</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2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126,121,426 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122,132,245 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125,142,415 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121,370,949 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23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131,827,233 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128,447,069 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131,355,421 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128,149,252 </w:t>
            </w:r>
          </w:p>
        </w:tc>
        <w:tc>
          <w:tcPr>
            <w:tcW w:w="1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Privia Health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tbl>
      <w:tblPr>
        <w:tblW w:w="10941" w:type="dxa"/>
        <w:jc w:val="center"/>
        <w:tblInd w:w="0" w:type="dxa"/>
        <w:tblLayout w:type="fixed"/>
        <w:tblCellMar>
          <w:top w:w="28" w:type="dxa"/>
          <w:left w:w="28" w:type="dxa"/>
          <w:bottom w:w="28" w:type="dxa"/>
          <w:right w:w="28" w:type="dxa"/>
        </w:tblCellMar>
      </w:tblPr>
      <w:tblGrid>
        <w:gridCol w:w="679"/>
        <w:gridCol w:w="268"/>
        <w:gridCol w:w="269"/>
        <w:gridCol w:w="579"/>
        <w:gridCol w:w="472"/>
        <w:gridCol w:w="256"/>
        <w:gridCol w:w="109"/>
        <w:gridCol w:w="109"/>
        <w:gridCol w:w="109"/>
        <w:gridCol w:w="196"/>
        <w:gridCol w:w="556"/>
        <w:gridCol w:w="109"/>
        <w:gridCol w:w="109"/>
        <w:gridCol w:w="109"/>
        <w:gridCol w:w="109"/>
        <w:gridCol w:w="196"/>
        <w:gridCol w:w="736"/>
        <w:gridCol w:w="109"/>
        <w:gridCol w:w="109"/>
        <w:gridCol w:w="109"/>
        <w:gridCol w:w="109"/>
        <w:gridCol w:w="196"/>
        <w:gridCol w:w="751"/>
        <w:gridCol w:w="109"/>
        <w:gridCol w:w="109"/>
        <w:gridCol w:w="109"/>
        <w:gridCol w:w="109"/>
        <w:gridCol w:w="206"/>
        <w:gridCol w:w="774"/>
        <w:gridCol w:w="116"/>
        <w:gridCol w:w="109"/>
        <w:gridCol w:w="109"/>
        <w:gridCol w:w="109"/>
        <w:gridCol w:w="259"/>
        <w:gridCol w:w="856"/>
        <w:gridCol w:w="146"/>
        <w:gridCol w:w="109"/>
        <w:gridCol w:w="109"/>
        <w:gridCol w:w="109"/>
        <w:gridCol w:w="205"/>
        <w:gridCol w:w="773"/>
        <w:gridCol w:w="163"/>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Equity attributable to Privia Health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120,309,346 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635,183 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683,447 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1,081,968 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121,391,314 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659,436 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709,526 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1,281,940 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122,673,254 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682,855 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733,546 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123,604,576 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737,217 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790,943 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2,084,429 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non-controlling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125,689,005 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753,059 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805,904 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Contributed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126,289,983 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782,329 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838,073 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sans-serif" w:hAnsi="Arial;sans-serif"/>
          <w:b w:val="false"/>
          <w:color w:val="000000"/>
          <w:sz w:val="24"/>
        </w:rPr>
        <w:br/>
      </w:r>
      <w:r>
        <w:rPr>
          <w:rFonts w:ascii="Times New Roman;serif" w:hAnsi="Times New Roman;serif"/>
          <w:b w:val="false"/>
          <w:i/>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Privia Health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9401" w:type="dxa"/>
        <w:jc w:val="left"/>
        <w:tblInd w:w="0" w:type="dxa"/>
        <w:tblLayout w:type="fixed"/>
        <w:tblCellMar>
          <w:top w:w="28" w:type="dxa"/>
          <w:left w:w="28" w:type="dxa"/>
          <w:bottom w:w="28" w:type="dxa"/>
          <w:right w:w="28" w:type="dxa"/>
        </w:tblCellMar>
      </w:tblPr>
      <w:tblGrid>
        <w:gridCol w:w="2289"/>
        <w:gridCol w:w="2011"/>
        <w:gridCol w:w="2015"/>
        <w:gridCol w:w="244"/>
        <w:gridCol w:w="958"/>
        <w:gridCol w:w="126"/>
        <w:gridCol w:w="126"/>
        <w:gridCol w:w="126"/>
        <w:gridCol w:w="126"/>
        <w:gridCol w:w="244"/>
        <w:gridCol w:w="958"/>
        <w:gridCol w:w="178"/>
      </w:tblGrid>
      <w:tr>
        <w:trPr/>
        <w:tc>
          <w:tcPr>
            <w:tcW w:w="228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 and liabilities:</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(172,378)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(121,497)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liability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investing activities</w:t>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Business acquisitions, net of cash acquired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(89,058)</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exercised stock options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non-controlling interest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non-controlling interest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(101,022)</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491,149 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390,127 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operating activities:</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obtained in exchange for right-of-use assets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payable</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Privia Health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 xml:space="preserve">Organization and Summary of Significant Accounting Policies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Privia Health Group, Inc. (“Privia Health,” “Privia,” “we,” “our” or the “Company”) is a technology-driven, national physician-enablement company that collaborates with physician practices, health plans, and health systems to achieve the quadruple aim of better outcomes, lower costs, improved patient experience, and happier and more engaged providers. The Company pursues the quadruple aim by entering markets and organizing existing physicians and non-physician clinicians into a unique practice model that combines the advantages of a partnership in a large regional medical group (each, a “Medical Group” and together, “Medical Groups”) with significant provider autonomy for physicians (collectively, “Privia Physicians”) and non-physician clinicians (collectively “Privia Clinicians” and, together with the Privia Physicians, the “Privia Providers”) joining the Company’s Medical Groups. Privia Physicians join the Medical Groups in their geographic market as an owner of the Medical Group.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Privia operated Medical Groups in seventeen markets: (1) the Mid-Atlantic Region (states of Virginia, Maryland and the District of Columbia); (2) Georgia; (3) the Gulf Coast Region (Houston-San Antonio-Austin, Texas); (4) North Texas (Dallas/Fort Worth, Texas); (5) West Texas (Abilene, Texas); (6) Central Florida; (7) Tennessee; (8) California; (9) Montana; (10) Ohio; (11) North Carolina; (12) Connecticut; (13) Washington state; (14) South Carolina; (15) Indiana; (16) Arizona; and (17) New Jersey.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provides management and administrative services through local management services organizations (each, an “MSO”) to the Medical Groups through a Management Services Agreement (“MSA”) in each market. The Company owns 100% of all MSOs, except four where the Company is at least the majority owner.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are prepared in accordance with United States (“U.S.”) generally accepted accounting principles (“GAAP”) and include the accounts of the Company and its subsidiaries. Amounts shown on the condensed consolidated statements of operations within the operating expense categories of provider expense, cost of platform, selling and marketing, and general and administrative are recorded exclusive of depreciation and amortization.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significant intercompany transactions are eliminated in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indicative of the results to be expected for the full fiscal year ending December 31, 2026. The condensed consolidated balance sheet at December 31, 2025 was derived from audited annual financial statements but does not contain all disclosures required by GAAP. In the opinion of management, all adjustments (consisting of only normal and recurring adjustments) considered necessary for a fair statement have been included.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described its significant accounting policies in Note 1 of the notes to consolidated financial statements for the year ended December 31, 2025 in the Annual Report on Form 10-K. During the three and six months ended June 30, 2026, there were no significant changes to those accounting policies and estimates.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Variable Interest Entities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evaluates the Company’s ownership, contractual, and other interests in entities to determine if it has any variable interest in a variable interest entity (“VIE”). These evaluations are complex and involve judgment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relationships with medical groups in which the Company has no ownership interests, which are either (a) owned 100% by Privia Physicians (each, a “Non-Owned Medical Group” and collectively, “Non-Owned Medical Groups”) or (b) majority owned, indirectly through a professional entity by a licensed physician holding a Privia leadership position (each, a “Friendly Medical Group” and collectively, “Friendly Medical Groups”). Each of our Medical Groups (e.g., Owned Medical Groups, Non-Owned Medical Groups and Friendly Medical Groups) contracts with the Privia Physician’s historic practice entity, which no longer furnishes healthcare services (the “Affiliated Practice”) whereby the Affiliated Practice provides certain subcontracted services to the Medical Groups to allow the Medical Group to operate at the practice location.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its relationship with (a) Non-Owned Medical Groups and their Affiliated Practices, (b) Friendly Medical Groups and their Affiliated Practices, and (c) Affiliated Practices associated with Owned Medical Groups to determine if any of these entities should be subject to consolidation. The Company does not have ownership interest in any Affiliated Practices (whether those of Owned Medical Groups, Non-Owned Medical Groups or Friendly Medical Groups); nor does the Company have an ownership in Non-Owned Medical Groups. The Physician Member Services Agreement (“PMSA”) and support services agreement (“SSA”) entered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by Non-Owned Medical Groups and Friendly Medical Groups with their Privia Physician members and the Affiliated Practices are not contractual relationships within Privia’s legal structure. The only contractual relationship between Privia and Non-Owned Medical Groups is established through the MSA. For Friendly Medical Groups, in addition to the MSA, the Company has a contractual relationship, evidenced by a restriction agreement (each a “Restriction Agreement”) with licensed physicians holding a Privia leadership position (“Nominee Physicians”) and their respective Friendly Medical Groups. Management has determined, based on the provisions of the MSAs between the Company and Non-Owned Medical Groups, and after considering the requirements of Accounting Standards Codification (“ASC”) Topic 810,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(“ASC 810”), the Company is not required to consolidate the financial position or results of operations of the Affiliated Practices associated with Owned Medical Groups; nor is it required to consolidate the financial position or results of operations of Non-Owned Medical Groups (and, therefore, the Company is not required to consolidate the Affiliated Practices of the Non-Owned Medical Groups). However, management has determined, based on the provisions of the Restriction Agreement on the Nominee Physician (“Friendly PC”), the governing documents of the Friendly Medical Groups, and after considering the requirements of ASC 810, that the Company should consolidate the financial position and results of operations of the Friendly Medical Groups and the Friendly PCs.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ASC 810 requires the Company to consolidate the financial position, results of operations and cash flows of a Non-Owned Medical Group affiliated by means of a service agreement if the Non-Owned Medical Group is a VIE and the Company is its primary beneficiary. An Affiliated Practice would be considered a VIE if (a) it is thinly capitalized (i.e., the equity is not sufficient to fund the Non-Owned Medical Group’s activities without additional subordinated financial support) or (b) the equity holders of the Non-Owned Medical Group as a group have one of the following four characteristics: (i) lack the power to direct the activities that most significantly affect the Non-Owned Medical Group’s economic performance, (ii) possess non-substantive voting rights, (iii) lack the obligation to absorb the Non-Owned Medical Group’s expected losses, or (iv) lack the right to receive the Non-Owned Medical Group’s expected residual returns.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characteristics of both (a) and (b) do not exist and as such the Non-Owned Medical Groups do not represent VIEs. Accordingly, the Company has not consolidated the financial position, results of operations or cash flows of the Non-Owned Medical Groups that are affiliated with the Company by means of a service agreement for the three months ended June 30, 2026 and 2025. Each time that it enters into a new service agreement or enters into a material amendment to an existing service agreement, the Company considers whether the terms of that agreement or amendment would change the elements it considers in accordance with the VIE guidance. The same analysis was performed for the Affiliated Practices of Owned Medical Groups, which have contractual relationships with Privia through the SSA, and the Company determined they do not represent VIEs as they do not meet the criteria in ASC 810 for similar reasons as those outlined above.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however, does meet the criteria for consolidation of the Nominee PCs and the Friendly Medical Groups based on the discussion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Privia Medical Group – West Texas, PLLC, (“PMG West Texas”) is a physician-owned Medical Group, with PMG West Texas Holdings, PLLC (“Friendly WTX PC”), a Texas professional limited liability company entirely owned by a Nominee Physician, owning majority membership interests and having governance and control rights via the governing documents of PMG West Texas. The Company has a contractual relationship with Friendly WTX PC through a Restriction Agreement. The VIE analysis was performed, and the Company determined that characteristic (b) exists as a result of meeting (ii) and (iv) and, as such, PMG West Texas and Friendly WTX PC do represent VIEs and are consolidated as they do meet the criteria in ASC 810.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Privia Medical Group Tennessee, PLLC (“PMG-TN”) is a physician-owned Medical Group, with PMG-TN Physicians, PLLC (“Friendly TN PC”), a Tennessee professional limited liability company entirely owned by a Nominee Physician, owning majority membership interests therein and having governance and control rights via the governing documents of PMG-TN. Again, the same analysis was performed, and the Company determined that characteristic (b) exists as a result of meeting (ii) and (iv) and, as such, PMG-TN and Friendly TN PC do represent VIEs as they do meet the criteria in ASC 810.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Privia Medical Group Washington, PLLC, (“PMG WA”) is a physician-owned Medical Group, with PMG Washington Holdings, PLLC (“Friendly WA PC”), a Washington professional limited liability company entirely owned by a Nominee Physician, owning majority membership interests and having governance and control rights via the governing documents of PMG WA. The Company has a contractual relationship with Friendly WA PC through a Restriction Agreement. The VIE analysis was performed, and the Company determined that characteristic (b) exists as a result of meeting (i), (ii) and (iv) and, as such, PMG WA and Friendly WA PC do represent VIEs and are consolidated as they do meet the criteria in ASC 810.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Privia Medical Group South Carolina, LLC, (“PMG SC”) is a physician-owned Medical Group, with PMG South Carolina Holdings, PLLC (“Friendly SC PC”), a South Carolina professional limited liability company entirely owned by a Nominee Physician, owning majority membership interests and having governance and control rights via the governing documents of PMG SC. The Company has a contractual relationship with Friendly SC PC through a Restriction Agreement. The VIE analysis was performed, and the Company determined that characteristic (b) exists as a result of meeting (i), (ii) and (iv) and, as such, PMG SC and Friendly SC PC represent VIEs and are consolidated as they meet the criteria in ASC 810.</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Privia Medical Group Indiana, LLC, (“PMG IN”) is a physician-owned Medical Group, with PMG Holdings Indiana, LLC, (“Friendly IN PC”), an Indiana professional limited liability company entirely owned by a licensed physician with a leadership role in the Company, owning majority membership interests and having governance and control rights via the governing documents of PMG IN. The Company has a contractual relationship with Friendly IN PC through a Restriction Agreement. The VIE analysis was performed, and the Company determined that characteristic (b) exists as a result of meeting (i), (ii) and (iv) and, as such, PMG IN and Friendly IN PC represent VIEs and are consolidated as they meet the criteria in ASC 810.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Privia Medical Group Arizona, PLLC (“PMG-AZ”) is an Owned Medical Group, with the Company owning a majority of the membership interests and having governance and control rights through the governing documents of PMG-AZ. The VIE analysis was performed, and the Company determined that characteristic (a) exists, and, as such, PMG-AZ does represent a VIE and is consolidated as it does meet the criteria in ASC 810.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Privia Medical Group New Jersey, LLC (“PMG-NJ”) is a physician-owned Medical Group, with PMGNJ Hold Co, P.C., (“Friendly NJ PC”), a New Jersey professional corporation entirely owned by a licensed physician with a leadership role in the Company, owning majority membership interests and having governance and control rights via the governing documents of PMG-NJ. The Company has a contractual relationship with Friendly NJ PC through a Restriction Agreement. The VIE analysis was performed, and the Company determined that characteristic (b) exists as a result of meeting (i), (ii) and (iv) and, as such, PMG-NJ and Friendly NJ PC represent VIEs and are consolidated as they meet the criteria in ASC 810.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aggregated carrying value of the Company’s VIEs for both the current assets and liabilities included in the consolidated balance sheets after elimination of intercompany transactions was $19.5 million as of June 30, 2026 and $18.9 million as of December 31,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Use of Estimates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liabilities, revenue, expenses, and related disclosures. On an on-going basis, the Company evaluates significant estimates and assumptions, including, but not limited to, provider liability, revenue recognition, stock-based compensation, estimated useful lives of assets, intangible assets subject to amortization, the fair value of assets acquired and liabilities assumed in business combinations, and the provision for income taxes. These estimates are based on historical experience, current conditions, and other assumptions that management believes are reasonable under the circumstances. Actual results could differ from those estimates. Estimates and assumptions are reviewed and updated as new information becomes available, additional experience is gained, future events occur, or the Company’s operating environment changes.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120" w:after="283"/>
        <w:jc w:val="both"/>
        <w:rPr/>
      </w:pPr>
      <w:r>
        <w:rPr>
          <w:rFonts w:ascii="Times New Roman;serif" w:hAnsi="Times New Roman;serif"/>
          <w:b w:val="false"/>
          <w:color w:val="000000"/>
          <w:sz w:val="20"/>
        </w:rPr>
        <w:t xml:space="preserve">In December 2023, the Financial Accounting Standards Board (“FASB”) issued Accounting Standards Update (“ASU”) No. 2023-09, </w:t>
      </w:r>
      <w:r>
        <w:rPr>
          <w:rFonts w:ascii="Times New Roman;serif" w:hAnsi="Times New Roman;serif"/>
          <w:b w:val="false"/>
          <w:i/>
          <w:color w:val="000000"/>
          <w:sz w:val="20"/>
        </w:rPr>
        <w:t xml:space="preserve">Income Taxes - Improvements to Income Tax Disclosures </w:t>
      </w:r>
      <w:r>
        <w:rPr>
          <w:rFonts w:ascii="Times New Roman;serif" w:hAnsi="Times New Roman;serif"/>
          <w:b w:val="false"/>
          <w:color w:val="000000"/>
          <w:sz w:val="20"/>
        </w:rPr>
        <w:t>(“ASU 2023-09”). The amendments require (i) enhanced disclosures in connection with an entity’s effective tax rate reconciliation and (ii) income taxes paid disaggregated by jurisdiction. The amendment is effective for annual periods beginning after December 15, 2024. The Company adopted ASU 2023-09 for the annual period ending December 31, 2025 on a prospective basis.</w:t>
      </w:r>
    </w:p>
    <w:p>
      <w:pPr>
        <w:pStyle w:val="TextBody"/>
        <w:bidi w:val="0"/>
        <w:spacing w:lineRule="auto" w:line="288" w:before="120" w:after="120"/>
        <w:jc w:val="both"/>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 (Topic 805) and Consolidation (Topic 810): Determining the Accounting Acquirer in a Variable-Interest Entity.</w:t>
      </w:r>
      <w:r>
        <w:rPr>
          <w:color w:val="000000"/>
        </w:rPr>
        <w:t xml:space="preserve"> </w:t>
      </w:r>
      <w:r>
        <w:rPr>
          <w:rFonts w:ascii="Times New Roman;serif" w:hAnsi="Times New Roman;serif"/>
          <w:b w:val="false"/>
          <w:color w:val="000000"/>
          <w:sz w:val="20"/>
        </w:rPr>
        <w:t>The amendment clarifies the guidance when an entity involved in an acquisition transaction effected primarily by exchanging equity interests and the legal acquiree is a VIE that meets the definition of a business. Entities must identify the accounting acquirer using the factors in ASC 805-10-55-12 through 55-15, rather than relying solely on the VIE consolidation model. The amendment is effective for annual reporting periods beginning after December 15, 2026, including interim periods within the fiscal years and applied prospectively to acquisitions after the adoption date. The adoption of this standard is not expected to have a material impact on the Company’s consolidated financial statements or related disclosures.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Recently Issued Accounting Pronouncements Pending Adoption </w:t>
      </w:r>
    </w:p>
    <w:p>
      <w:pPr>
        <w:pStyle w:val="TextBody"/>
        <w:bidi w:val="0"/>
        <w:spacing w:lineRule="auto" w:line="268" w:before="12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Disaggregation of Income Statement Expenses (“DISE”) </w:t>
      </w:r>
      <w:r>
        <w:rPr>
          <w:rFonts w:ascii="Times New Roman;serif" w:hAnsi="Times New Roman;serif"/>
          <w:b w:val="false"/>
          <w:color w:val="000000"/>
          <w:sz w:val="20"/>
        </w:rPr>
        <w:t xml:space="preserve">and in January 2025, issued ASU No. 2025-01, </w:t>
      </w:r>
      <w:r>
        <w:rPr>
          <w:rFonts w:ascii="Times New Roman;serif" w:hAnsi="Times New Roman;serif"/>
          <w:b w:val="false"/>
          <w:i/>
          <w:color w:val="000000"/>
          <w:sz w:val="20"/>
        </w:rPr>
        <w:t xml:space="preserve">Income Statement - Reporting Comprehensive Income - Expense Disaggregation Disclosure, </w:t>
      </w:r>
      <w:r>
        <w:rPr>
          <w:rFonts w:ascii="Times New Roman;serif" w:hAnsi="Times New Roman;serif"/>
          <w:b w:val="false"/>
          <w:color w:val="000000"/>
          <w:sz w:val="20"/>
        </w:rPr>
        <w:t>which clarified the effective date of ASU 2024-03</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amendment requires disclosures about the nature of expenses included in the income statement, such as purchases of inventory, employee compensation and depreciation. The amendment is effective for annual reporting periods beginning after December 15, 2026, and interim reporting periods beginning after December 15, 2027. The Company is evaluating the impact of ASU 2024-03 on its financial statements and related disclosures.</w:t>
      </w:r>
    </w:p>
    <w:p>
      <w:pPr>
        <w:pStyle w:val="TextBody"/>
        <w:bidi w:val="0"/>
        <w:spacing w:lineRule="auto" w:line="288" w:before="120" w:after="12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 xml:space="preserve">which clarifies the guidance in Topic 270 to improve the consistency of interim financial reporting. The amendment provides a comprehensive list of required interim disclosures and introduces a disclosure principle requiring entities to disclose events since the end of the last annual reporting period that have a material impact on the entity. The amendment is effective for annual reporting periods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December 15, 2027, including interim periods within the fiscal years, with early adoption permitted. The Company is currently evaluating the impact of this standard on its financial statements and related disclosures.</w:t>
      </w:r>
    </w:p>
    <w:p>
      <w:pPr>
        <w:pStyle w:val="TextBody"/>
        <w:bidi w:val="0"/>
        <w:spacing w:lineRule="auto" w:line="288" w:before="120" w:after="120"/>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 (“Codification”)</w:t>
      </w:r>
      <w:r>
        <w:rPr>
          <w:rFonts w:ascii="Times New Roman;serif" w:hAnsi="Times New Roman;serif"/>
          <w:b w:val="false"/>
          <w:color w:val="000000"/>
          <w:sz w:val="20"/>
        </w:rPr>
        <w:t>, which addresses suggestions received from stakeholders on the Codification and makes other incremental improvements to GAAP. This evergreen project facilitates Codification updates for a broad range of topics arising from technical corrections, the unintended application of the Codification, clarifications, and other minor improvements. The amendment is effective for annual reporting periods beginning after December 15, 2026, including interim periods within the fiscal years, with early adoption permitted. The Company does not expect ASU 2025-12 to have a material impact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2. Revenue Recognition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revenues disaggregated by source:</w:t>
      </w:r>
    </w:p>
    <w:tbl>
      <w:tblPr>
        <w:tblW w:w="8807" w:type="dxa"/>
        <w:jc w:val="center"/>
        <w:tblInd w:w="0" w:type="dxa"/>
        <w:tblLayout w:type="fixed"/>
        <w:tblCellMar>
          <w:top w:w="28" w:type="dxa"/>
          <w:left w:w="28" w:type="dxa"/>
          <w:bottom w:w="28" w:type="dxa"/>
          <w:right w:w="28" w:type="dxa"/>
        </w:tblCellMar>
      </w:tblPr>
      <w:tblGrid>
        <w:gridCol w:w="967"/>
        <w:gridCol w:w="851"/>
        <w:gridCol w:w="852"/>
        <w:gridCol w:w="229"/>
        <w:gridCol w:w="899"/>
        <w:gridCol w:w="118"/>
        <w:gridCol w:w="118"/>
        <w:gridCol w:w="118"/>
        <w:gridCol w:w="118"/>
        <w:gridCol w:w="229"/>
        <w:gridCol w:w="899"/>
        <w:gridCol w:w="118"/>
        <w:gridCol w:w="109"/>
        <w:gridCol w:w="109"/>
        <w:gridCol w:w="109"/>
        <w:gridCol w:w="211"/>
        <w:gridCol w:w="976"/>
        <w:gridCol w:w="109"/>
        <w:gridCol w:w="109"/>
        <w:gridCol w:w="109"/>
        <w:gridCol w:w="109"/>
        <w:gridCol w:w="211"/>
        <w:gridCol w:w="97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FFS-patient care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FFS-administrative services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Capitated revenue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Shared savings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Care management fees (PMPM)</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revenue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632,630 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521,153 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Fee-for-service (“FFS”) patient care is primarily generated from third-party payers with which the Company has established contractual billing arrangements. The following table presents the approximate percentages by source of net revenue received for healthcare services we provided for the periods indicated: </w:t>
      </w:r>
    </w:p>
    <w:tbl>
      <w:tblPr>
        <w:tblW w:w="7833" w:type="dxa"/>
        <w:jc w:val="center"/>
        <w:tblInd w:w="0" w:type="dxa"/>
        <w:tblLayout w:type="fixed"/>
        <w:tblCellMar>
          <w:top w:w="28" w:type="dxa"/>
          <w:left w:w="28" w:type="dxa"/>
          <w:bottom w:w="28" w:type="dxa"/>
          <w:right w:w="28" w:type="dxa"/>
        </w:tblCellMar>
      </w:tblPr>
      <w:tblGrid>
        <w:gridCol w:w="662"/>
        <w:gridCol w:w="583"/>
        <w:gridCol w:w="585"/>
        <w:gridCol w:w="238"/>
        <w:gridCol w:w="238"/>
        <w:gridCol w:w="592"/>
        <w:gridCol w:w="238"/>
        <w:gridCol w:w="238"/>
        <w:gridCol w:w="238"/>
        <w:gridCol w:w="238"/>
        <w:gridCol w:w="238"/>
        <w:gridCol w:w="592"/>
        <w:gridCol w:w="109"/>
        <w:gridCol w:w="109"/>
        <w:gridCol w:w="109"/>
        <w:gridCol w:w="281"/>
        <w:gridCol w:w="218"/>
        <w:gridCol w:w="542"/>
        <w:gridCol w:w="218"/>
        <w:gridCol w:w="218"/>
        <w:gridCol w:w="218"/>
        <w:gridCol w:w="281"/>
        <w:gridCol w:w="218"/>
        <w:gridCol w:w="632"/>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insurers </w:t>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payers </w:t>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Patient </w:t>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FFS-administrative services revenue is earned through the Company’s MSA with Non-Owned Medical Groups primarily based on a fixed percentage of net collections on patient care generated by those medical groups.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Value Based Care (“VBC”) revenue is primarily earned through contracts for capitated revenue, shared savings and care management fees (“PMPM”). Capitated revenue is generated through what is typically known as an “at-risk contract.” At-risk capitation refers to a model in which the Company receives a fixed monthly payment from the third-party payer in exchange for providing healthcare services to attributed beneficiaries. The Company is responsible for providing or paying for the cost of healthcare services required by those attributed beneficiaries for a set of services. Capitated revenue is recorded at the total amount gross in revenues because the Company is acting as a principal in arranging for, providing, and controlling the managed healthcare services provided to the Attributed Lives (as defined herein). Shared savings revenue and PMPM are generated through contracts with large commercial payer organizations and the U.S. Federal Government.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Contract Asset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the following contract assets: </w:t>
      </w:r>
    </w:p>
    <w:tbl>
      <w:tblPr>
        <w:tblW w:w="6333" w:type="dxa"/>
        <w:jc w:val="center"/>
        <w:tblInd w:w="0" w:type="dxa"/>
        <w:tblLayout w:type="fixed"/>
        <w:tblCellMar>
          <w:top w:w="28" w:type="dxa"/>
          <w:left w:w="28" w:type="dxa"/>
          <w:bottom w:w="28" w:type="dxa"/>
          <w:right w:w="28" w:type="dxa"/>
        </w:tblCellMar>
      </w:tblPr>
      <w:tblGrid>
        <w:gridCol w:w="1201"/>
        <w:gridCol w:w="1056"/>
        <w:gridCol w:w="1059"/>
        <w:gridCol w:w="211"/>
        <w:gridCol w:w="826"/>
        <w:gridCol w:w="109"/>
        <w:gridCol w:w="109"/>
        <w:gridCol w:w="109"/>
        <w:gridCol w:w="109"/>
        <w:gridCol w:w="273"/>
        <w:gridCol w:w="1072"/>
        <w:gridCol w:w="199"/>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for contracts with customers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400,902 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Remaining Performance Obligations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our performance obligations relate to contracts with a duration of one year or less, the Company elected the optional exemption in ASC 606-10-50-14(a). Therefore, the Company is not required to disclose the transaction price for the remaining performance obligations at the end of the reporting period or when the Company expects to recognize revenue. The Company has minimal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unsatisfied performance obligations at the end of the reporting period as our patients typically are under no obligation to continue receiving services at our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Business Combinations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New Jersey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19, 2026, the Company entered into the New Jersey market through the acquisition of PMG-NJ, whereby Privia acquired a 77% ownership interest in PMG-NJ. The acquisition was accounted for using the acquisition method pursuant to the requirements of ASC 805. The results of operations of the acquisition have been included in the Company’s consolidated financial statements since the date of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preliminary fair value of the assets acquired and liabilities assumed at the acquisition date are as follows (in thousands):</w:t>
      </w:r>
    </w:p>
    <w:tbl>
      <w:tblPr>
        <w:tblW w:w="5538" w:type="dxa"/>
        <w:jc w:val="left"/>
        <w:tblInd w:w="0" w:type="dxa"/>
        <w:tblLayout w:type="fixed"/>
        <w:tblCellMar>
          <w:top w:w="28" w:type="dxa"/>
          <w:left w:w="28" w:type="dxa"/>
          <w:bottom w:w="28" w:type="dxa"/>
          <w:right w:w="28" w:type="dxa"/>
        </w:tblCellMar>
      </w:tblPr>
      <w:tblGrid>
        <w:gridCol w:w="1494"/>
        <w:gridCol w:w="1313"/>
        <w:gridCol w:w="1318"/>
        <w:gridCol w:w="109"/>
        <w:gridCol w:w="109"/>
        <w:gridCol w:w="109"/>
        <w:gridCol w:w="211"/>
        <w:gridCol w:w="721"/>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contract and physician network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acquired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regarding the net cash paid for the acquisition is as follows (in thousands):</w:t>
      </w:r>
    </w:p>
    <w:tbl>
      <w:tblPr>
        <w:tblW w:w="4307" w:type="dxa"/>
        <w:jc w:val="left"/>
        <w:tblInd w:w="0" w:type="dxa"/>
        <w:tblLayout w:type="fixed"/>
        <w:tblCellMar>
          <w:top w:w="28" w:type="dxa"/>
          <w:left w:w="28" w:type="dxa"/>
          <w:bottom w:w="28" w:type="dxa"/>
          <w:right w:w="28" w:type="dxa"/>
        </w:tblCellMar>
      </w:tblPr>
      <w:tblGrid>
        <w:gridCol w:w="1048"/>
        <w:gridCol w:w="921"/>
        <w:gridCol w:w="925"/>
        <w:gridCol w:w="109"/>
        <w:gridCol w:w="109"/>
        <w:gridCol w:w="109"/>
        <w:gridCol w:w="211"/>
        <w:gridCol w:w="721"/>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paid for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relating to the acquisition is primarily attributable to synergies related to the assembled workforce. Goodwill is measured as the excess of the consideration transferred over the fair value of assets acquired and liabilities assumed on the acquisition date. None of the goodwill recognized for the acquisition of PMG-NJ is expected to be deductible for tax purposes. In connection with the acquisition, the Company recognized a contingent consideration payable within other non-current liabilities on the consolidated balance sheet with an estimated fair value of $1.3 million, subject to meeting certain future performance targets over the next two years. For the 2026 acquisition, the Company is in the process of completing its formal valuation analysis to identify and determine the fair value of tangible and identifiable intangible assets acquired and the liabilities assumed. Thus, the final allocation of the purchase price may differ from the preliminary estimates used at June 30, 2026 based on additional information obtained and completion of the valuation of the identifiable intangible assets. The Company does not expect any adjustments, if necessary, to be material.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Arizona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2025, the Company entered the Arizona market with the acquisition of a 51% ownership interest in PMG AZ. The acquisition was accounted for using the acquisition method pursuant to the requirements of ASC 805. The results of operations and cash flows for the period subsequent to the acquisition are included in the accompanying consolidated statement of operations and consolidated statement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assets acquired and liabilities assumed at the acquisition date are as follows (in thousands):</w:t>
      </w:r>
    </w:p>
    <w:tbl>
      <w:tblPr>
        <w:tblW w:w="5537" w:type="dxa"/>
        <w:jc w:val="left"/>
        <w:tblInd w:w="0" w:type="dxa"/>
        <w:tblLayout w:type="fixed"/>
        <w:tblCellMar>
          <w:top w:w="28" w:type="dxa"/>
          <w:left w:w="28" w:type="dxa"/>
          <w:bottom w:w="28" w:type="dxa"/>
          <w:right w:w="28" w:type="dxa"/>
        </w:tblCellMar>
      </w:tblPr>
      <w:tblGrid>
        <w:gridCol w:w="1489"/>
        <w:gridCol w:w="1309"/>
        <w:gridCol w:w="1326"/>
        <w:gridCol w:w="109"/>
        <w:gridCol w:w="109"/>
        <w:gridCol w:w="109"/>
        <w:gridCol w:w="211"/>
        <w:gridCol w:w="72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contract and physician network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acquired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regarding the net cash paid for the acquisition is as follows (in thousands):</w:t>
      </w:r>
    </w:p>
    <w:tbl>
      <w:tblPr>
        <w:tblW w:w="6783" w:type="dxa"/>
        <w:jc w:val="left"/>
        <w:tblInd w:w="0" w:type="dxa"/>
        <w:tblLayout w:type="fixed"/>
        <w:tblCellMar>
          <w:top w:w="28" w:type="dxa"/>
          <w:left w:w="28" w:type="dxa"/>
          <w:bottom w:w="28" w:type="dxa"/>
          <w:right w:w="28" w:type="dxa"/>
        </w:tblCellMar>
      </w:tblPr>
      <w:tblGrid>
        <w:gridCol w:w="1942"/>
        <w:gridCol w:w="1708"/>
        <w:gridCol w:w="1720"/>
        <w:gridCol w:w="109"/>
        <w:gridCol w:w="109"/>
        <w:gridCol w:w="109"/>
        <w:gridCol w:w="211"/>
        <w:gridCol w:w="721"/>
        <w:gridCol w:w="154"/>
      </w:tblGrid>
      <w:tr>
        <w:trPr/>
        <w:tc>
          <w:tcPr>
            <w:tcW w:w="194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 net of $5.9 million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for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Pro Forma Total Revenues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PMG AZ contributed revenue of $17.7 million from the date of acquisition through June 30, 2025. The following table summarizes the unaudited pro forma total revenues of the combined entity:</w:t>
      </w:r>
    </w:p>
    <w:tbl>
      <w:tblPr>
        <w:tblW w:w="9264" w:type="dxa"/>
        <w:jc w:val="left"/>
        <w:tblInd w:w="0" w:type="dxa"/>
        <w:tblLayout w:type="fixed"/>
        <w:tblCellMar>
          <w:top w:w="28" w:type="dxa"/>
          <w:left w:w="28" w:type="dxa"/>
          <w:bottom w:w="28" w:type="dxa"/>
          <w:right w:w="28" w:type="dxa"/>
        </w:tblCellMar>
      </w:tblPr>
      <w:tblGrid>
        <w:gridCol w:w="1226"/>
        <w:gridCol w:w="1080"/>
        <w:gridCol w:w="1083"/>
        <w:gridCol w:w="524"/>
        <w:gridCol w:w="2054"/>
        <w:gridCol w:w="271"/>
        <w:gridCol w:w="109"/>
        <w:gridCol w:w="109"/>
        <w:gridCol w:w="109"/>
        <w:gridCol w:w="424"/>
        <w:gridCol w:w="1965"/>
        <w:gridCol w:w="310"/>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combined entity total revenue</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521,153 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1,019,580 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2025 transaction related to PMG AZ, the seller is entitled to additional amounts up to a maximum value of $25.0 million, subject to meeting certain future targets. Of the $25.0 million, $10.0 million may be earned over a three-year period beginning at the acquisition date, and $15.0 million may be earned upon renewal of certain agreements in 2030. The Company accounted for these additional amounts as post combination expense and expects to recognize any amounts earned within General and administrative expenses in the consolidated statements of operations and Accounts payable and accrued expenses and Other non-current liabilities, for current and long-term liabilities, respectively, within the consolidated balance sheets. The goodwill relating to this acquisition is primarily attributable to synergies related to the assembled workforce. None of the goodwill recognized for the acquisition of PMG AZ is expected to be deductible for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4. Goodwill and Intangible Assets,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purposes of the goodwill impairment assessment, the Company as a whole is considered to be a reporting unit. The Company recognizes the excess of the purchase price, plus the fair value of any non-controlling interests in the acquiree, over the fair value of identifiable net assets acquired as goodwill.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The Company’s carrying value of goodwill at June 30, 2026 and December 31, 2025 was approximately $215.8 million and $209.8 million, respectively. No indicators of impairment were identified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intangible assets is as follows: </w:t>
      </w:r>
    </w:p>
    <w:tbl>
      <w:tblPr>
        <w:tblW w:w="8432" w:type="dxa"/>
        <w:jc w:val="center"/>
        <w:tblInd w:w="0" w:type="dxa"/>
        <w:tblLayout w:type="fixed"/>
        <w:tblCellMar>
          <w:top w:w="28" w:type="dxa"/>
          <w:left w:w="28" w:type="dxa"/>
          <w:bottom w:w="28" w:type="dxa"/>
          <w:right w:w="28" w:type="dxa"/>
        </w:tblCellMar>
      </w:tblPr>
      <w:tblGrid>
        <w:gridCol w:w="1037"/>
        <w:gridCol w:w="913"/>
        <w:gridCol w:w="915"/>
        <w:gridCol w:w="211"/>
        <w:gridCol w:w="826"/>
        <w:gridCol w:w="109"/>
        <w:gridCol w:w="109"/>
        <w:gridCol w:w="109"/>
        <w:gridCol w:w="109"/>
        <w:gridCol w:w="228"/>
        <w:gridCol w:w="779"/>
        <w:gridCol w:w="118"/>
        <w:gridCol w:w="109"/>
        <w:gridCol w:w="109"/>
        <w:gridCol w:w="109"/>
        <w:gridCol w:w="211"/>
        <w:gridCol w:w="826"/>
        <w:gridCol w:w="109"/>
        <w:gridCol w:w="109"/>
        <w:gridCol w:w="109"/>
        <w:gridCol w:w="109"/>
        <w:gridCol w:w="226"/>
        <w:gridCol w:w="776"/>
        <w:gridCol w:w="167"/>
      </w:tblGrid>
      <w:tr>
        <w:trPr/>
        <w:tc>
          <w:tcPr>
            <w:tcW w:w="103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Intangible</w:t>
              <w:br/>
              <w:t xml:space="preserve">Assets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Intangible</w:t>
              <w:br/>
              <w:t xml:space="preserve">Assets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customer relationships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service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Physician network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Payer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MSO service agreement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amortization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remaining weighted average life of all amortizable intangible assets is approximately 16.7 years at June 30, 2026. </w:t>
      </w:r>
    </w:p>
    <w:p>
      <w:pPr>
        <w:pStyle w:val="TextBody"/>
        <w:bidi w:val="0"/>
        <w:spacing w:lineRule="auto" w:line="288" w:before="120" w:after="120"/>
        <w:jc w:val="both"/>
        <w:rPr/>
      </w:pPr>
      <w:r>
        <w:rPr>
          <w:rFonts w:ascii="Times New Roman;serif" w:hAnsi="Times New Roman;serif"/>
          <w:b w:val="false"/>
          <w:color w:val="000000"/>
          <w:sz w:val="20"/>
        </w:rPr>
        <w:t>Amortization expense for intangible assets was approximately $3.2 million and $2.4 million for the three months ended June 30, 2026 and 2025, respectively, and $6.3 million and $4.1 million</w:t>
      </w:r>
      <w:r>
        <w:rPr>
          <w:color w:val="000000"/>
        </w:rPr>
        <w:t xml:space="preserve"> </w:t>
      </w:r>
      <w:r>
        <w:rPr>
          <w:rFonts w:ascii="Times New Roman;serif" w:hAnsi="Times New Roman;serif"/>
          <w:b w:val="false"/>
          <w:color w:val="000000"/>
          <w:sz w:val="20"/>
        </w:rPr>
        <w:t>for the six months ended June 30, 2026 and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Remaining estimated amortization expense for the Company’s intangible assets is as follows:</w:t>
      </w:r>
    </w:p>
    <w:tbl>
      <w:tblPr>
        <w:tblW w:w="3420" w:type="dxa"/>
        <w:jc w:val="center"/>
        <w:tblInd w:w="0" w:type="dxa"/>
        <w:tblLayout w:type="fixed"/>
        <w:tblCellMar>
          <w:top w:w="28" w:type="dxa"/>
          <w:left w:w="28" w:type="dxa"/>
          <w:bottom w:w="28" w:type="dxa"/>
          <w:right w:w="28" w:type="dxa"/>
        </w:tblCellMar>
      </w:tblPr>
      <w:tblGrid>
        <w:gridCol w:w="608"/>
        <w:gridCol w:w="534"/>
        <w:gridCol w:w="538"/>
        <w:gridCol w:w="308"/>
        <w:gridCol w:w="1207"/>
        <w:gridCol w:w="225"/>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158,134 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218,654 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5. Accounts Payable and Accrued Expenses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accrued expenses consisted of the following: </w:t>
      </w:r>
    </w:p>
    <w:tbl>
      <w:tblPr>
        <w:tblW w:w="6896" w:type="dxa"/>
        <w:jc w:val="center"/>
        <w:tblInd w:w="0" w:type="dxa"/>
        <w:tblLayout w:type="fixed"/>
        <w:tblCellMar>
          <w:top w:w="28" w:type="dxa"/>
          <w:left w:w="28" w:type="dxa"/>
          <w:bottom w:w="28" w:type="dxa"/>
          <w:right w:w="28" w:type="dxa"/>
        </w:tblCellMar>
      </w:tblPr>
      <w:tblGrid>
        <w:gridCol w:w="1412"/>
        <w:gridCol w:w="1243"/>
        <w:gridCol w:w="1245"/>
        <w:gridCol w:w="228"/>
        <w:gridCol w:w="779"/>
        <w:gridCol w:w="117"/>
        <w:gridCol w:w="109"/>
        <w:gridCol w:w="109"/>
        <w:gridCol w:w="109"/>
        <w:gridCol w:w="300"/>
        <w:gridCol w:w="1026"/>
        <w:gridCol w:w="219"/>
      </w:tblGrid>
      <w:tr>
        <w:trPr/>
        <w:tc>
          <w:tcPr>
            <w:tcW w:w="1412"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employee compensation and benefits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expenses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accounts payable and accrued expenses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6. Provider Liability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Provider liability represents costs payable to physicians, hospitals and other ancillary providers, including both Privia Physicians (and their Affiliated Practices), and providers the Company has contracted with through payer partners. Those costs include amounts that have not yet been paid for physician guaranteed payments and other required distributions pursuant to the service agreements as well as medical claims costs for services provided to attributed beneficiaries for which the Company is financially responsible under at-risk capitated revenue arrangements whether paid directly by the Company or indirectly by payers with whom the Company has contracted. Provider expenses are recognized in the period in which services are provided and include estimates of claims that have been incurred but have either not yet been received, processed, or paid and as such, not reported.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provider liability balance represents management’s best estimate of its obligation for unpaid provider expenses. Management exercises judgment to determine the assumptions used for developing the required estimates. Provider liability estimates are developed using actuarial methods commonly used by health insurance actuaries that include a number of factors and assumptions including medical service utilization trends, changes in membership, observed medical cost trends, historical claim payment patterns and other factors.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Periodically, the Company re-examines previously established provider liability estimates based on actual claim submissions and other changes in facts and circumstances. The Company adjusts its provider liability estimates as more complete claims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becomes available, recognizing changes in the period in which they are identified. Differences between estimated liabilities and actual claim settlements are recognized in the period the claims are settled.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Liabilities for unpaid medical claims under at-risk capitation arrangements, which are included in provider liability in the accompanying consolidated balance sheets, are as follows:</w:t>
      </w:r>
    </w:p>
    <w:tbl>
      <w:tblPr>
        <w:tblW w:w="5676" w:type="dxa"/>
        <w:jc w:val="left"/>
        <w:tblInd w:w="0" w:type="dxa"/>
        <w:tblLayout w:type="fixed"/>
        <w:tblCellMar>
          <w:top w:w="28" w:type="dxa"/>
          <w:left w:w="28" w:type="dxa"/>
          <w:bottom w:w="28" w:type="dxa"/>
          <w:right w:w="28" w:type="dxa"/>
        </w:tblCellMar>
      </w:tblPr>
      <w:tblGrid>
        <w:gridCol w:w="918"/>
        <w:gridCol w:w="808"/>
        <w:gridCol w:w="809"/>
        <w:gridCol w:w="109"/>
        <w:gridCol w:w="109"/>
        <w:gridCol w:w="109"/>
        <w:gridCol w:w="211"/>
        <w:gridCol w:w="901"/>
        <w:gridCol w:w="109"/>
        <w:gridCol w:w="109"/>
        <w:gridCol w:w="109"/>
        <w:gridCol w:w="109"/>
        <w:gridCol w:w="211"/>
        <w:gridCol w:w="90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beginning of period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health care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end of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16, 2023, Privia Health Group, Inc., PH Group Holdings Corp., and Privia Health, LLC, as borrower, (collectively, the “Privia Parties”) entered into a credit agreement (the “Revolving Credit Agreement”) with Wells Fargo Bank, National Association, as issuing lender, and certain other lenders, pursuant to which the Privia Parties established a $125 million five-year senior secured revolving credit facility (the “Revolving Credit Facility”). On May 6, 2026 the Company entered into an amendment to the Revolving Credit Agreement (the “First Amendment”). The First Amendment increases the aggregate amount available under the Revolving Credit Agreement to $250 million and extends the term through 2031. The First Amendment bears interest at either i) a base rate, as defined in the Revolving Credit Agreement, plus an applicable margin ranging from 0.25% to 0.75%, or ii) SOFR, as defined in the Revolving Credit Agreement, plus an applicable margin that ranges from 1.25% to 1.75%, depending on the consolidated total leverage ratio, as defined in the Revolving Credit Agreement. The Revolving Credit Agreement includes a commitment fee on the unused Revolving Credit Facility that ranges from 0.20% to 0.30% (0.20% per annum at year end) depending on the consolidated leverage ratio. The facility generally may be used for capital expenditures, expenses related to transactions and general corporate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Revolving Credit Agreement contains customary affirmative, negative and financial covenants, and events of default. The occurrence of an event of default under the Revolving Credit Agreement may cause the unpaid principal and accrued interest, and all other obligations under the Revolving Credit Agreement, to become immediately due and payable.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no amounts were outstanding under the Revolving Credit Facility. Substantially all of the Company’s real and personal property serve as collateral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8. Income Taxes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 provision for income tax of $7.0 million and $2.5 million for the three months ended June 30, 2026 and 2025, respectively, and $12.6 million and $4.6 million for the six months ended June 30, 2026 and 2025, respectively. This represents an effective tax rate of 48.4% as of June 30, 2026 compared to 32.8% for the same period in the prior year. The effective tax rates differ from the statutory U.S. federal income tax rate of 21% primarily due to 162(m) limitations, state income taxes, and tax impacts related to equity award vesting and exercise events. The higher effective tax rate in the current quarter was primarily driven by unfavorable tax impacts related to equity award vesting and exercise events, as the associated tax deductions were lower than the related book compensation expense as well as the additional executives being subject to 162(m) limitations.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considers both positive and negative evidence when evaluating the recoverability of our deferred tax assets (“DTAs”). The assessment is required to determine whether, based on all available evidence, it is more likely than not (i.e., greater than a 50% probability) that all or some portion of the DTAs will be realized in the future. As of June 30, 2026 and December 31, 2025, the weight of all available positive evidence was greater than the weight of all negative evidence, so a valuation allowance against the deferred tax asset was not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6, 2021, the Board of Directors of the Company (the “Board”) approved the 2021 Omnibus Incentive Plan (the “Plan”) which permits awards in respect of up to 10,278,581 shares of Common Stock. The Plan also provides for an automatic increase on the first day of each fiscal year following the effective date of the Plan by an amount equal to the lesser of (i) 5% of outstanding shares on December 31 of the immediately preceding fiscal year or (ii) such number of shares as determined by the Company’s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Committee in its discretion. The Plan provides for the granting of stock options at a price equal to at least 100% of the fair market value of Common Stock as of the date of grant. The Plan also provides for the granting of Stock Appreciation Rights, Restricted Stock, Restricted Stock Units (“RSUs”), Performance Awards (“PSUs”) and other cash-based or other stock-based awards, all of which must be granted at not less than the fair market value of Common Stock as of the date of grant.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the Company’s initial public offering (“IPO”), the Company granted stock options pursuant to the PH Group Parent Corp. Stock Option Plan (the “PH Parent Option Plan”). The Company no longer issues grants under the PH Parent Option Plan and no shares of Common Stock are reserved for future issuance thereunder. On March 2, 2023, the Company entered into a strategic alignment agreement (the “Equity Alignment Agreement”) with ChoiceHealth, Inc. (“Novant Sub”), a subsidiary of Novant Health, Inc. (“Novant Health”). No shares have been issued to Novant Sub under the Equity Alignment Agreement as of June 30, 2026. A member of the Board is a member of the board of trustees of Novant Health.</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Stock option activity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PH Parent Option Plan and the Plan:</w:t>
      </w:r>
    </w:p>
    <w:tbl>
      <w:tblPr>
        <w:tblW w:w="8741" w:type="dxa"/>
        <w:jc w:val="center"/>
        <w:tblInd w:w="0" w:type="dxa"/>
        <w:tblLayout w:type="fixed"/>
        <w:tblCellMar>
          <w:top w:w="28" w:type="dxa"/>
          <w:left w:w="28" w:type="dxa"/>
          <w:bottom w:w="28" w:type="dxa"/>
          <w:right w:w="28" w:type="dxa"/>
        </w:tblCellMar>
      </w:tblPr>
      <w:tblGrid>
        <w:gridCol w:w="939"/>
        <w:gridCol w:w="825"/>
        <w:gridCol w:w="830"/>
        <w:gridCol w:w="488"/>
        <w:gridCol w:w="488"/>
        <w:gridCol w:w="471"/>
        <w:gridCol w:w="109"/>
        <w:gridCol w:w="109"/>
        <w:gridCol w:w="109"/>
        <w:gridCol w:w="263"/>
        <w:gridCol w:w="770"/>
        <w:gridCol w:w="136"/>
        <w:gridCol w:w="109"/>
        <w:gridCol w:w="109"/>
        <w:gridCol w:w="109"/>
        <w:gridCol w:w="330"/>
        <w:gridCol w:w="330"/>
        <w:gridCol w:w="331"/>
        <w:gridCol w:w="109"/>
        <w:gridCol w:w="109"/>
        <w:gridCol w:w="109"/>
        <w:gridCol w:w="276"/>
        <w:gridCol w:w="1082"/>
        <w:gridCol w:w="201"/>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Remaining</w:t>
              <w:br/>
              <w:t>Contractual</w:t>
              <w:br/>
              <w:t>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w:t>
              <w:br/>
              <w:t xml:space="preserve">Value </w:t>
              <w:br/>
              <w:t>(in thousands)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7,534,665 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102,102 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(386,900)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7,126,184 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7,126,184 </w:t>
            </w:r>
          </w:p>
        </w:tc>
        <w:tc>
          <w:tcPr>
            <w:tcW w:w="4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109,137 </w:t>
            </w:r>
          </w:p>
        </w:tc>
        <w:tc>
          <w:tcPr>
            <w:tcW w:w="2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RSU Activity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 under the Plan:</w:t>
      </w:r>
    </w:p>
    <w:tbl>
      <w:tblPr>
        <w:tblW w:w="7727" w:type="dxa"/>
        <w:jc w:val="left"/>
        <w:tblInd w:w="0" w:type="dxa"/>
        <w:tblLayout w:type="fixed"/>
        <w:tblCellMar>
          <w:top w:w="28" w:type="dxa"/>
          <w:left w:w="28" w:type="dxa"/>
          <w:bottom w:w="28" w:type="dxa"/>
          <w:right w:w="28" w:type="dxa"/>
        </w:tblCellMar>
      </w:tblPr>
      <w:tblGrid>
        <w:gridCol w:w="1472"/>
        <w:gridCol w:w="1294"/>
        <w:gridCol w:w="1298"/>
        <w:gridCol w:w="524"/>
        <w:gridCol w:w="526"/>
        <w:gridCol w:w="471"/>
        <w:gridCol w:w="109"/>
        <w:gridCol w:w="109"/>
        <w:gridCol w:w="109"/>
        <w:gridCol w:w="390"/>
        <w:gridCol w:w="1140"/>
        <w:gridCol w:w="285"/>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 Fair Value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at December 31, 2025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3,847,183 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2,435,096 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(1,695,847)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at June 30, 2026</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4,488,019 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PSU Activity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PSUs granted under the Plan generally vest based on the satisfaction of specified service conditions, performance-based conditions, and/or market conditions. PSUs represent a target number of units that may be paid out at zero to 200% of target at the end of a multi-year award cycle, typically three years, subject to continued employment of recipients and the achievement of such performance-based and market conditions. The performance-based conditions are established relative to certain Company-specific financial targets. For PSUs with performance-based conditions where the target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stock-based compensation expense is recognized over the requisite service period based on the estimated fair value at each reporting date. For PSUs that are solely based on employment and the achievement of certain market performance metric targets, which have already been determined, the fair value of the PSUs is determined on the grant date using a Monte Carlo valuation model. Stock-based compensation expense for these awards is fixed and is recognized on a straight-line basis over the requisite service period. At the end of the performance period, the Compensation Committee of the Board determines performance against the applicable performance-based conditions and/or market conditions. Generally, PSUs vest upon the determination by the Compensation Committee of the Board of the achievement of applicable performance-based conditions and/or market conditions, unless subject to earlier vesting, such as upon a Termination without Cause (as defined in the Plan) following a Change-in-Control of the Company (as defined in the Plan). PSUs do not convey voting rights.</w:t>
      </w:r>
    </w:p>
    <w:p>
      <w:pPr>
        <w:pStyle w:val="TextBody"/>
        <w:bidi w:val="0"/>
        <w:spacing w:before="12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PSU activity under the Plan:</w:t>
      </w:r>
    </w:p>
    <w:tbl>
      <w:tblPr>
        <w:tblW w:w="7653" w:type="dxa"/>
        <w:jc w:val="left"/>
        <w:tblInd w:w="0" w:type="dxa"/>
        <w:tblLayout w:type="fixed"/>
        <w:tblCellMar>
          <w:top w:w="28" w:type="dxa"/>
          <w:left w:w="28" w:type="dxa"/>
          <w:bottom w:w="28" w:type="dxa"/>
          <w:right w:w="28" w:type="dxa"/>
        </w:tblCellMar>
      </w:tblPr>
      <w:tblGrid>
        <w:gridCol w:w="1472"/>
        <w:gridCol w:w="1294"/>
        <w:gridCol w:w="1298"/>
        <w:gridCol w:w="488"/>
        <w:gridCol w:w="488"/>
        <w:gridCol w:w="471"/>
        <w:gridCol w:w="109"/>
        <w:gridCol w:w="109"/>
        <w:gridCol w:w="109"/>
        <w:gridCol w:w="390"/>
        <w:gridCol w:w="1140"/>
        <w:gridCol w:w="285"/>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 Fair Value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at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2,443,331 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974,645 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(621,253)</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at June 30,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2,775,188 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589"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expense </w:t>
      </w:r>
    </w:p>
    <w:p>
      <w:pPr>
        <w:pStyle w:val="TextBody"/>
        <w:bidi w:val="0"/>
        <w:spacing w:lineRule="auto" w:line="288" w:before="120" w:after="283"/>
        <w:jc w:val="both"/>
        <w:rPr/>
      </w:pPr>
      <w:r>
        <w:rPr>
          <w:rFonts w:ascii="Times New Roman;serif" w:hAnsi="Times New Roman;serif"/>
          <w:b w:val="false"/>
          <w:color w:val="000000"/>
          <w:sz w:val="20"/>
        </w:rPr>
        <w:t>Total stock-based compensation expense for the three months ended June 30, 2026 and 2025, was approximately $19.4 million</w:t>
      </w:r>
      <w:r>
        <w:rPr>
          <w:color w:val="000000"/>
          <w:shd w:fill="FFFFFF" w:val="clear"/>
        </w:rPr>
        <w:t xml:space="preserve"> </w:t>
      </w:r>
      <w:r>
        <w:rPr>
          <w:rFonts w:ascii="Times New Roman;serif" w:hAnsi="Times New Roman;serif"/>
          <w:b w:val="false"/>
          <w:color w:val="000000"/>
          <w:sz w:val="20"/>
          <w:shd w:fill="FFFFFF" w:val="clear"/>
        </w:rPr>
        <w:t xml:space="preserve">and $18.8 million, respectively, and </w:t>
      </w:r>
      <w:r>
        <w:rPr>
          <w:rFonts w:ascii="Times New Roman;serif" w:hAnsi="Times New Roman;serif"/>
          <w:b w:val="false"/>
          <w:color w:val="000000"/>
          <w:sz w:val="20"/>
        </w:rPr>
        <w:t>$41.3 million</w:t>
      </w:r>
      <w:r>
        <w:rPr>
          <w:color w:val="000000"/>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$36.6 million for the six months ended June 30, 2026 and 2025, respectively</w:t>
      </w:r>
      <w:r>
        <w:rPr>
          <w:rFonts w:ascii="Times New Roman;serif" w:hAnsi="Times New Roman;serif"/>
          <w:b w:val="false"/>
          <w:color w:val="000000"/>
          <w:sz w:val="20"/>
          <w:shd w:fill="FFFFFF" w:val="clear"/>
        </w:rPr>
        <w:t xml:space="preserve">. At June 30, 2026, there was approximately </w:t>
      </w:r>
      <w:r>
        <w:rPr>
          <w:rFonts w:ascii="Times New Roman;serif" w:hAnsi="Times New Roman;serif"/>
          <w:b w:val="false"/>
          <w:color w:val="000000"/>
          <w:sz w:val="20"/>
        </w:rPr>
        <w:t>$126.0 million</w:t>
      </w:r>
      <w:r>
        <w:rPr>
          <w:color w:val="000000"/>
          <w:shd w:fill="FFFFFF" w:val="clear"/>
        </w:rPr>
        <w:t xml:space="preserve"> </w:t>
      </w:r>
      <w:r>
        <w:rPr>
          <w:rFonts w:ascii="Times New Roman;serif" w:hAnsi="Times New Roman;serif"/>
          <w:b w:val="false"/>
          <w:color w:val="000000"/>
          <w:sz w:val="20"/>
          <w:shd w:fill="FFFFFF" w:val="clear"/>
        </w:rPr>
        <w:t xml:space="preserve">of unrecognized stock-based compensation expense related to unvested options, RSUs and PSUs, net of forfeitures, that is expected to be recognized over a weighted-average period of </w:t>
      </w:r>
      <w:r>
        <w:rPr>
          <w:rFonts w:ascii="Times New Roman;serif" w:hAnsi="Times New Roman;serif"/>
          <w:b w:val="false"/>
          <w:color w:val="000000"/>
          <w:sz w:val="20"/>
        </w:rPr>
        <w:t xml:space="preserve">1.2 years.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classified in the condensed consolidated statements of operations as follows:</w:t>
      </w:r>
    </w:p>
    <w:tbl>
      <w:tblPr>
        <w:tblW w:w="8937" w:type="dxa"/>
        <w:jc w:val="left"/>
        <w:tblInd w:w="0" w:type="dxa"/>
        <w:tblLayout w:type="fixed"/>
        <w:tblCellMar>
          <w:top w:w="28" w:type="dxa"/>
          <w:left w:w="28" w:type="dxa"/>
          <w:bottom w:w="28" w:type="dxa"/>
          <w:right w:w="28" w:type="dxa"/>
        </w:tblCellMar>
      </w:tblPr>
      <w:tblGrid>
        <w:gridCol w:w="995"/>
        <w:gridCol w:w="872"/>
        <w:gridCol w:w="877"/>
        <w:gridCol w:w="109"/>
        <w:gridCol w:w="109"/>
        <w:gridCol w:w="109"/>
        <w:gridCol w:w="249"/>
        <w:gridCol w:w="853"/>
        <w:gridCol w:w="128"/>
        <w:gridCol w:w="128"/>
        <w:gridCol w:w="128"/>
        <w:gridCol w:w="128"/>
        <w:gridCol w:w="249"/>
        <w:gridCol w:w="853"/>
        <w:gridCol w:w="128"/>
        <w:gridCol w:w="109"/>
        <w:gridCol w:w="109"/>
        <w:gridCol w:w="109"/>
        <w:gridCol w:w="232"/>
        <w:gridCol w:w="793"/>
        <w:gridCol w:w="119"/>
        <w:gridCol w:w="119"/>
        <w:gridCol w:w="119"/>
        <w:gridCol w:w="119"/>
        <w:gridCol w:w="232"/>
        <w:gridCol w:w="793"/>
        <w:gridCol w:w="169"/>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platform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material commitments and contingencies as of June 30, 2026 and December 31, 2025.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involved in, and may in the future become involved in, legal proceedings, claims, investigations and regulatory inquiries in the ordinary course of our business, including medical malpractice claims. These claims or proceedings can involve various types of parties, including governments, regulators, competitors, customers, partners, suppliers, service providers, licensees, licensors, employees, or stockholders, among others. Although the results of these legal proceedings, claims, investigations and inquiries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inquiries and investigations may nonetheless impose a significant burden on management and employees and be costly to manage and defend, with potentially unfavorable preliminary or interim rulings. </w:t>
      </w:r>
    </w:p>
    <w:p>
      <w:pPr>
        <w:pStyle w:val="TextBody"/>
        <w:bidi w:val="0"/>
        <w:spacing w:lineRule="auto" w:line="288" w:before="120" w:after="283"/>
        <w:jc w:val="both"/>
        <w:rPr>
          <w:rFonts w:ascii="Times New Roman;serif" w:hAnsi="Times New Roman;serif"/>
          <w:b w:val="false"/>
          <w:color w:val="222222"/>
          <w:sz w:val="20"/>
          <w:shd w:fill="FFFFFF" w:val="clear"/>
        </w:rPr>
      </w:pPr>
      <w:r>
        <w:rPr>
          <w:rFonts w:ascii="Times New Roman;serif" w:hAnsi="Times New Roman;serif"/>
          <w:b w:val="false"/>
          <w:color w:val="222222"/>
          <w:sz w:val="20"/>
          <w:shd w:fill="FFFFFF" w:val="clear"/>
        </w:rPr>
        <w:t xml:space="preserve">The Company records liabilities for its estimates of probable costs resulting from legal and regulatory matters where appropriate. Estimates of costs resulting from legal and regulatory matters involving the Company are inherently difficult to predict, particularly where the matters: may involve indeterminate claims for monetary damages or may involve fines, penalties or civil damages; involve an uncertain number of potential claimants or regulatory bodies; are in the early stages of the proceedings; or could result in a change in compliance practices. </w:t>
      </w:r>
    </w:p>
    <w:p>
      <w:pPr>
        <w:pStyle w:val="TextBody"/>
        <w:bidi w:val="0"/>
        <w:spacing w:lineRule="auto" w:line="288" w:before="120" w:after="283"/>
        <w:jc w:val="both"/>
        <w:rPr/>
      </w:pPr>
      <w:r>
        <w:rPr>
          <w:rFonts w:ascii="Times New Roman;serif" w:hAnsi="Times New Roman;serif"/>
          <w:b w:val="false"/>
          <w:color w:val="222222"/>
          <w:sz w:val="20"/>
          <w:shd w:fill="FFFFFF" w:val="clear"/>
        </w:rPr>
        <w:t>On March 24, 2026, after we made a voluntary disclosure to various federal and state authorities, the Company received a “Request for Information or Assistance” from the Department of Health and Human Services’ Office of Inspector General (“OIG”).</w:t>
      </w:r>
      <w:r>
        <w:rPr>
          <w:color w:val="222222"/>
        </w:rPr>
        <w:t xml:space="preserve"> </w:t>
      </w:r>
      <w:r>
        <w:rPr>
          <w:rFonts w:ascii="Times New Roman;serif" w:hAnsi="Times New Roman;serif"/>
          <w:b w:val="false"/>
          <w:color w:val="222222"/>
          <w:sz w:val="20"/>
          <w:shd w:fill="FFFFFF" w:val="clear"/>
        </w:rPr>
        <w:t>The inquiry pertains to a single obstetric and gynecological Affiliated Practice that was formerly in Privia’s Mid-Atlantic service area, and whether that practice procured and implanted medical devices for a limited cohort of its patients without complying with applicable regulatory requirements. The Company is not aware of similar conduct at its other Affiliated Practices.</w:t>
      </w:r>
    </w:p>
    <w:p>
      <w:pPr>
        <w:pStyle w:val="TextBody"/>
        <w:bidi w:val="0"/>
        <w:spacing w:lineRule="auto" w:line="288" w:before="120" w:after="283"/>
        <w:jc w:val="both"/>
        <w:rPr/>
      </w:pPr>
      <w:r>
        <w:rPr>
          <w:rFonts w:ascii="Times New Roman;serif" w:hAnsi="Times New Roman;serif"/>
          <w:b w:val="false"/>
          <w:color w:val="222222"/>
          <w:sz w:val="20"/>
          <w:shd w:fill="FFFFFF" w:val="clear"/>
        </w:rPr>
        <w:t xml:space="preserve">The Company is cooperating with OIG’s request for information and is coordinating its response with the U.S. Department of Justice (“DOJ”) and the Commonwealth of Virginia’s Office of the Attorney General. While </w:t>
      </w:r>
      <w:r>
        <w:rPr>
          <w:rFonts w:ascii="Times New Roman;serif" w:hAnsi="Times New Roman;serif"/>
          <w:b w:val="false"/>
          <w:color w:val="000000"/>
          <w:sz w:val="20"/>
          <w:shd w:fill="FFFFFF" w:val="clear"/>
        </w:rPr>
        <w:t xml:space="preserve">the Company does not currently believe that this matter is reasonably likely to have a material adverse effect on its business, financial condition or results of operations, </w:t>
      </w:r>
      <w:r>
        <w:rPr>
          <w:rFonts w:ascii="Times New Roman;serif" w:hAnsi="Times New Roman;serif"/>
          <w:b w:val="false"/>
          <w:color w:val="222222"/>
          <w:sz w:val="20"/>
        </w:rPr>
        <w:t>the Company can provide no assurance as to the scope and outcome of this inquiry given its procedural status, including the ultimate extent of governmental interest in the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11. Concentration of Credit and Revenue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financial instruments that are potentially subject to concentrations of credit risk consist primarily of cash, cash equivalents, and accounts receivable. While our cash and cash equivalents are managed by reputable financial institutions, the Company’s cash balances with the individual institutions may at times exceed the federally insured limits. At June 30, 2026, substantially all of the Company’s cash and cash equivalents were held at two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revenue concentrations with respect to payers comprising 10% or more of the Company’s total revenues:</w:t>
      </w:r>
    </w:p>
    <w:tbl>
      <w:tblPr>
        <w:tblW w:w="6627" w:type="dxa"/>
        <w:jc w:val="left"/>
        <w:tblInd w:w="0" w:type="dxa"/>
        <w:tblLayout w:type="fixed"/>
        <w:tblCellMar>
          <w:top w:w="28" w:type="dxa"/>
          <w:left w:w="28" w:type="dxa"/>
          <w:bottom w:w="28" w:type="dxa"/>
          <w:right w:w="28" w:type="dxa"/>
        </w:tblCellMar>
      </w:tblPr>
      <w:tblGrid>
        <w:gridCol w:w="272"/>
        <w:gridCol w:w="238"/>
        <w:gridCol w:w="240"/>
        <w:gridCol w:w="238"/>
        <w:gridCol w:w="238"/>
        <w:gridCol w:w="592"/>
        <w:gridCol w:w="238"/>
        <w:gridCol w:w="238"/>
        <w:gridCol w:w="238"/>
        <w:gridCol w:w="238"/>
        <w:gridCol w:w="238"/>
        <w:gridCol w:w="592"/>
        <w:gridCol w:w="109"/>
        <w:gridCol w:w="109"/>
        <w:gridCol w:w="109"/>
        <w:gridCol w:w="218"/>
        <w:gridCol w:w="218"/>
        <w:gridCol w:w="542"/>
        <w:gridCol w:w="218"/>
        <w:gridCol w:w="218"/>
        <w:gridCol w:w="218"/>
        <w:gridCol w:w="218"/>
        <w:gridCol w:w="218"/>
        <w:gridCol w:w="632"/>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A</w:t>
            </w:r>
          </w:p>
        </w:tc>
        <w:tc>
          <w:tcPr>
            <w:tcW w:w="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B</w:t>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C</w:t>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concentrations of credit risk with respect to payers comprising 10% or more of the Company’s receivables, net:</w:t>
      </w:r>
    </w:p>
    <w:tbl>
      <w:tblPr>
        <w:tblW w:w="3662" w:type="dxa"/>
        <w:jc w:val="left"/>
        <w:tblInd w:w="0" w:type="dxa"/>
        <w:tblLayout w:type="fixed"/>
        <w:tblCellMar>
          <w:top w:w="28" w:type="dxa"/>
          <w:left w:w="28" w:type="dxa"/>
          <w:bottom w:w="28" w:type="dxa"/>
          <w:right w:w="28" w:type="dxa"/>
        </w:tblCellMar>
      </w:tblPr>
      <w:tblGrid>
        <w:gridCol w:w="272"/>
        <w:gridCol w:w="238"/>
        <w:gridCol w:w="240"/>
        <w:gridCol w:w="221"/>
        <w:gridCol w:w="221"/>
        <w:gridCol w:w="551"/>
        <w:gridCol w:w="221"/>
        <w:gridCol w:w="221"/>
        <w:gridCol w:w="221"/>
        <w:gridCol w:w="221"/>
        <w:gridCol w:w="221"/>
        <w:gridCol w:w="551"/>
        <w:gridCol w:w="109"/>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A</w:t>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B</w:t>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C</w:t>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12. Net Income Per Share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net income available to common stockholders and the number of shares in the calculation of basic and diluted earnings income per share was calculated as follows: </w:t>
      </w:r>
    </w:p>
    <w:tbl>
      <w:tblPr>
        <w:tblW w:w="10205" w:type="dxa"/>
        <w:jc w:val="center"/>
        <w:tblInd w:w="0" w:type="dxa"/>
        <w:tblLayout w:type="fixed"/>
        <w:tblCellMar>
          <w:top w:w="28" w:type="dxa"/>
          <w:left w:w="28" w:type="dxa"/>
          <w:bottom w:w="28" w:type="dxa"/>
          <w:right w:w="28" w:type="dxa"/>
        </w:tblCellMar>
      </w:tblPr>
      <w:tblGrid>
        <w:gridCol w:w="1434"/>
        <w:gridCol w:w="1261"/>
        <w:gridCol w:w="1263"/>
        <w:gridCol w:w="302"/>
        <w:gridCol w:w="884"/>
        <w:gridCol w:w="114"/>
        <w:gridCol w:w="114"/>
        <w:gridCol w:w="114"/>
        <w:gridCol w:w="114"/>
        <w:gridCol w:w="302"/>
        <w:gridCol w:w="884"/>
        <w:gridCol w:w="114"/>
        <w:gridCol w:w="109"/>
        <w:gridCol w:w="109"/>
        <w:gridCol w:w="109"/>
        <w:gridCol w:w="268"/>
        <w:gridCol w:w="918"/>
        <w:gridCol w:w="111"/>
        <w:gridCol w:w="111"/>
        <w:gridCol w:w="111"/>
        <w:gridCol w:w="111"/>
        <w:gridCol w:w="302"/>
        <w:gridCol w:w="884"/>
        <w:gridCol w:w="162"/>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(Dollars in thousands, except for share and per share amounts)</w:t>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Privia Health Group, Inc. common stockholders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126,121,426 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122,132,245 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125,142,415 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121,370,949 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 outstanding -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131,827,233 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128,447,069 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131,355,421 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128,149,252 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Privia Health Group, Inc. common stockholders – basic</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Privia Health Group, Inc. common stockholders – diluted</w:t>
            </w:r>
          </w:p>
        </w:tc>
        <w:tc>
          <w:tcPr>
            <w:tcW w:w="3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Below are the weighted-average diluted shares outstanding that were excluded from the computation of diluted loss per share attributable to common stockholders for the period presented because they were anti-dilutive:</w:t>
      </w:r>
    </w:p>
    <w:tbl>
      <w:tblPr>
        <w:tblW w:w="7335" w:type="dxa"/>
        <w:jc w:val="center"/>
        <w:tblInd w:w="0" w:type="dxa"/>
        <w:tblLayout w:type="fixed"/>
        <w:tblCellMar>
          <w:top w:w="28" w:type="dxa"/>
          <w:left w:w="28" w:type="dxa"/>
          <w:bottom w:w="28" w:type="dxa"/>
          <w:right w:w="28" w:type="dxa"/>
        </w:tblCellMar>
      </w:tblPr>
      <w:tblGrid>
        <w:gridCol w:w="1511"/>
        <w:gridCol w:w="1327"/>
        <w:gridCol w:w="1332"/>
        <w:gridCol w:w="612"/>
        <w:gridCol w:w="364"/>
        <w:gridCol w:w="224"/>
        <w:gridCol w:w="224"/>
        <w:gridCol w:w="224"/>
        <w:gridCol w:w="224"/>
        <w:gridCol w:w="612"/>
        <w:gridCol w:w="364"/>
        <w:gridCol w:w="317"/>
      </w:tblGrid>
      <w:tr>
        <w:trPr/>
        <w:tc>
          <w:tcPr>
            <w:tcW w:w="151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antidilutive shares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4,116,262 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4,931,666 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13. Segment Financial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in accordance with ASC Topic 280, Segment Reporting (“ASC 280”), that the Company operates in and reports as a single operating segment, which is to care for its patients’ needs. Operating segments are identified as components of an enterprise where separate discrete financial information is available for evaluation by the chief operating decision maker (“CODM”), or decision-making group, who reviews financial operating results on a regular basis for the purpose of allocating resources and evaluating financial performance.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defines its CODM as its Chief Executive Officer, who regularly reviews financial operating results on a consolidated basis for purposes of allocating resources and evaluating financial performance. Although the Company derives its revenues from a number of different geographic regions, the Company neither allocates resources based on the operating results from the individual regions, nor manages each individual region as a separate business unit. The Company’s CODM manages the operations on a consolidated basis to make decisions about overall corporate resource allocation and to assess overall corporate profitability. As of June 30, 2026 and December 31, 2025, all of the Company’s long-lived assets were located in the United States.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attributable to Privia Health Group, Inc. to evaluate financial performance and allocate resources. Consolidated net income attributable to Privia Health Group, Inc. for the three months ended June 30, 2026 and 2025 was $9.0 million and $2.7 million, respectively, and $12.1 million and $6.9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our unaudited condensed consolidated financial statements and accompanying notes included elsewhere in this quarterly report on Form 10-Q. In addition, the following discussion and analysis and information contains forward-looking statements about the business, operations and financial performance of the Company based on our current expectations that involve risks, uncertainties and assumptions. Our actual results could differ materially from those anticipated by these forward-looking statements as a result of many factors. including, but not limited to, those identified below and those discussed in the sections titled “Risk Factors” and “Information Regarding Forward-Looking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Privia Health is a technology-driven, national physician-enablement company that collaborates with physician practices, health plans, and health systems to achieve the quadruple aim of better outcomes, lower costs, improved patient experience, and happier and more engaged providers. We seek to accomplish the quadruple aim by entering markets and organizing existing physicians and non-physician clinicians into a unique practice model that combines the advantages of a partnership in a large regional Medical Group with significant provider autonomy for Privia Providers joining our Medical Groups. Our technology and service solutions (collectively, the “Privia Platform”) are powered by our Privia Technology Solution that integrates both Privia-developed and third-party applications into a seamless interface and workflow that manages all aspects of our Privia Providers’ provision of healthcare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our Privia Medical Group model, Privia Physicians join the Medical Group in their geographic market as owners of the Medical Group. We own a majority interest in certain of our Medical Groups, with Privia Physicians collectively owning a minority interest, and we own no interest in certain other Non-Owned Medical Groups. In those markets in which state regulations do not allow us to own Medical Groups, the Non-Owned Medical Groups may be owned by the Privia Physicians or owned indirectly by a licensed physician holding a Privia leadership position, otherwise referred to as a Friendly Medical Group. Privia Physicians furnish healthcare services through our Medical Groups and continue to own their Affiliated Practices, which provide certain services to the Medical Groups, such as use of space, non-physician staffing, equipment and supplies.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management services to the Medical Groups through a local MSO, which provides Medical Groups with access to VBC opportunities either directly or through Privia-owned Accountable Care Organizations (“ACOs”).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some instances, we also move into and expand in new and existing markets through our Privia Care Partners model, which offers an affiliation model to providers who are looking solely for VBC solutions. For those practices, we furnish population health services, reporting and analytics, along with certain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GAAP Financial Measures </w:t>
      </w:r>
    </w:p>
    <w:p>
      <w:pPr>
        <w:pStyle w:val="TextBody"/>
        <w:bidi w:val="0"/>
        <w:spacing w:lineRule="auto" w:line="288" w:before="120" w:after="283"/>
        <w:ind w:left="0" w:right="0" w:hanging="360"/>
        <w:jc w:val="both"/>
        <w:rPr/>
      </w:pPr>
      <w:r>
        <w:rPr>
          <w:color w:val="000000"/>
        </w:rPr>
        <w:t>•    </w:t>
      </w:r>
      <w:r>
        <w:rPr>
          <w:rFonts w:ascii="Times New Roman;serif" w:hAnsi="Times New Roman;serif"/>
          <w:b w:val="false"/>
          <w:color w:val="000000"/>
          <w:sz w:val="20"/>
        </w:rPr>
        <w:t>Revenue was $632.6 million</w:t>
      </w:r>
      <w:r>
        <w:rPr>
          <w:color w:val="000000"/>
          <w:shd w:fill="FFFFFF" w:val="clear"/>
        </w:rPr>
        <w:t xml:space="preserve"> </w:t>
      </w:r>
      <w:r>
        <w:rPr>
          <w:rFonts w:ascii="Times New Roman;serif" w:hAnsi="Times New Roman;serif"/>
          <w:b w:val="false"/>
          <w:color w:val="000000"/>
          <w:sz w:val="20"/>
          <w:shd w:fill="FFFFFF" w:val="clear"/>
        </w:rPr>
        <w:t xml:space="preserve">and $521.2 million for the three months ended June 30, 2026 and 2025, respectively, and </w:t>
      </w:r>
      <w:r>
        <w:rPr>
          <w:rFonts w:ascii="Times New Roman;serif" w:hAnsi="Times New Roman;serif"/>
          <w:b w:val="false"/>
          <w:color w:val="000000"/>
          <w:sz w:val="20"/>
        </w:rPr>
        <w:t>$1.24 billion</w:t>
      </w:r>
      <w:r>
        <w:rPr>
          <w:color w:val="000000"/>
        </w:rPr>
        <w:t xml:space="preserve"> </w:t>
      </w:r>
      <w:r>
        <w:rPr>
          <w:rFonts w:ascii="Times New Roman;serif" w:hAnsi="Times New Roman;serif"/>
          <w:b w:val="false"/>
          <w:color w:val="000000"/>
          <w:sz w:val="20"/>
        </w:rPr>
        <w:t>and $1.00 billion</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color w:val="000000"/>
        </w:rPr>
        <w:t>•    </w:t>
      </w:r>
      <w:r>
        <w:rPr>
          <w:rFonts w:ascii="Times New Roman;serif" w:hAnsi="Times New Roman;serif"/>
          <w:b w:val="false"/>
          <w:color w:val="000000"/>
          <w:sz w:val="20"/>
        </w:rPr>
        <w:t>Gross profit was $128.9 million</w:t>
      </w:r>
      <w:r>
        <w:rPr>
          <w:color w:val="000000"/>
          <w:shd w:fill="FFFFFF" w:val="clear"/>
        </w:rPr>
        <w:t xml:space="preserve"> </w:t>
      </w:r>
      <w:r>
        <w:rPr>
          <w:rFonts w:ascii="Times New Roman;serif" w:hAnsi="Times New Roman;serif"/>
          <w:b w:val="false"/>
          <w:color w:val="000000"/>
          <w:sz w:val="20"/>
          <w:shd w:fill="FFFFFF" w:val="clear"/>
        </w:rPr>
        <w:t xml:space="preserve">and $112.8 million for the three months ended June 30, 2026 and 2025, respectively, and </w:t>
      </w:r>
      <w:r>
        <w:rPr>
          <w:rFonts w:ascii="Times New Roman;serif" w:hAnsi="Times New Roman;serif"/>
          <w:b w:val="false"/>
          <w:color w:val="000000"/>
          <w:sz w:val="20"/>
        </w:rPr>
        <w:t>$254.5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$216.4 million</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color w:val="000000"/>
        </w:rPr>
        <w:t>•    </w:t>
      </w:r>
      <w:r>
        <w:rPr>
          <w:rFonts w:ascii="Times New Roman;serif" w:hAnsi="Times New Roman;serif"/>
          <w:b w:val="false"/>
          <w:color w:val="000000"/>
          <w:sz w:val="20"/>
        </w:rPr>
        <w:t>Operating income was $11.8 million and $3.3 million for the three months ended June 30, 2026 and 2025, respectively, and $19.2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$8.6 million</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r>
        <w:rPr>
          <w:rFonts w:ascii="Times New Roman;serif" w:hAnsi="Times New Roman;serif"/>
          <w:b w:val="false"/>
          <w:color w:val="000000"/>
          <w:sz w:val="20"/>
        </w:rPr>
        <w:t>; and</w:t>
      </w:r>
    </w:p>
    <w:p>
      <w:pPr>
        <w:pStyle w:val="TextBody"/>
        <w:bidi w:val="0"/>
        <w:spacing w:lineRule="auto" w:line="288" w:before="120" w:after="283"/>
        <w:ind w:left="0" w:right="0" w:hanging="360"/>
        <w:jc w:val="both"/>
        <w:rPr/>
      </w:pPr>
      <w:r>
        <w:rPr>
          <w:color w:val="000000"/>
        </w:rPr>
        <w:t>•    </w:t>
      </w:r>
      <w:r>
        <w:rPr>
          <w:rFonts w:ascii="Times New Roman;serif" w:hAnsi="Times New Roman;serif"/>
          <w:b w:val="false"/>
          <w:color w:val="000000"/>
          <w:sz w:val="20"/>
        </w:rPr>
        <w:t>Net income attributable to Privia Health Group, Inc. was $9.0 million</w:t>
      </w:r>
      <w:r>
        <w:rPr>
          <w:color w:val="000000"/>
          <w:shd w:fill="FFFFFF" w:val="clear"/>
        </w:rPr>
        <w:t xml:space="preserve"> </w:t>
      </w:r>
      <w:r>
        <w:rPr>
          <w:rFonts w:ascii="Times New Roman;serif" w:hAnsi="Times New Roman;serif"/>
          <w:b w:val="false"/>
          <w:color w:val="000000"/>
          <w:sz w:val="20"/>
          <w:shd w:fill="FFFFFF" w:val="clear"/>
        </w:rPr>
        <w:t xml:space="preserve">and $2.7 million, for the three months ended June 30, 2026 and 2025, respectively, and </w:t>
      </w:r>
      <w:r>
        <w:rPr>
          <w:rFonts w:ascii="Times New Roman;serif" w:hAnsi="Times New Roman;serif"/>
          <w:b w:val="false"/>
          <w:color w:val="000000"/>
          <w:sz w:val="20"/>
        </w:rPr>
        <w:t>$12.1 million</w:t>
      </w:r>
      <w:r>
        <w:rPr>
          <w:color w:val="000000"/>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$6.9 million</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Summary of Key Metrics and Non-GAAP Financial Measures </w:t>
      </w:r>
    </w:p>
    <w:p>
      <w:pPr>
        <w:pStyle w:val="TextBody"/>
        <w:bidi w:val="0"/>
        <w:spacing w:lineRule="auto" w:line="288" w:before="120" w:after="283"/>
        <w:ind w:left="0" w:right="0" w:hanging="360"/>
        <w:jc w:val="both"/>
        <w:rPr/>
      </w:pPr>
      <w:r>
        <w:rPr>
          <w:color w:val="000000"/>
        </w:rPr>
        <w:t>•    </w:t>
      </w:r>
      <w:r>
        <w:rPr>
          <w:rFonts w:ascii="Times New Roman;serif" w:hAnsi="Times New Roman;serif"/>
          <w:b w:val="false"/>
          <w:color w:val="000000"/>
          <w:sz w:val="20"/>
        </w:rPr>
        <w:t>Practice Collections were $970.0 million</w:t>
      </w:r>
      <w:r>
        <w:rPr>
          <w:color w:val="000000"/>
          <w:shd w:fill="FFFFFF" w:val="clear"/>
        </w:rPr>
        <w:t xml:space="preserve"> </w:t>
      </w:r>
      <w:r>
        <w:rPr>
          <w:rFonts w:ascii="Times New Roman;serif" w:hAnsi="Times New Roman;serif"/>
          <w:b w:val="false"/>
          <w:color w:val="000000"/>
          <w:sz w:val="20"/>
          <w:shd w:fill="FFFFFF" w:val="clear"/>
        </w:rPr>
        <w:t>and $862.9 million for the three months ended June 30, 2026 and 2025, respectively, and $1.88 billion</w:t>
      </w:r>
      <w:r>
        <w:rPr>
          <w:color w:val="000000"/>
        </w:rPr>
        <w:t xml:space="preserve"> </w:t>
      </w:r>
      <w:r>
        <w:rPr>
          <w:rFonts w:ascii="Times New Roman;serif" w:hAnsi="Times New Roman;serif"/>
          <w:b w:val="false"/>
          <w:color w:val="000000"/>
          <w:sz w:val="20"/>
          <w:shd w:fill="FFFFFF" w:val="clear"/>
        </w:rPr>
        <w:t>and $1.66 billion</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color w:val="000000"/>
        </w:rPr>
        <w:t>•    </w:t>
      </w:r>
      <w:r>
        <w:rPr>
          <w:rFonts w:ascii="Times New Roman;serif" w:hAnsi="Times New Roman;serif"/>
          <w:b w:val="false"/>
          <w:color w:val="000000"/>
          <w:sz w:val="20"/>
        </w:rPr>
        <w:t>Care Margin was</w:t>
      </w:r>
      <w:r>
        <w:rPr>
          <w:color w:val="000000"/>
          <w:shd w:fill="FFFFFF" w:val="clear"/>
        </w:rPr>
        <w:t xml:space="preserve"> </w:t>
      </w:r>
      <w:r>
        <w:rPr>
          <w:rFonts w:ascii="Times New Roman;serif" w:hAnsi="Times New Roman;serif"/>
          <w:b w:val="false"/>
          <w:color w:val="000000"/>
          <w:sz w:val="20"/>
        </w:rPr>
        <w:t>$132.1 million</w:t>
      </w:r>
      <w:r>
        <w:rPr>
          <w:color w:val="000000"/>
          <w:shd w:fill="FFFFFF" w:val="clear"/>
        </w:rPr>
        <w:t xml:space="preserve"> </w:t>
      </w:r>
      <w:r>
        <w:rPr>
          <w:rFonts w:ascii="Times New Roman;serif" w:hAnsi="Times New Roman;serif"/>
          <w:b w:val="false"/>
          <w:color w:val="000000"/>
          <w:sz w:val="20"/>
          <w:shd w:fill="FFFFFF" w:val="clear"/>
        </w:rPr>
        <w:t>and $115.2 million for the three months ended June 30, 2026 and 2025, respectively, and $260.9 million</w:t>
      </w:r>
      <w:r>
        <w:rPr>
          <w:color w:val="000000"/>
        </w:rPr>
        <w:t xml:space="preserve"> </w:t>
      </w:r>
      <w:r>
        <w:rPr>
          <w:rFonts w:ascii="Times New Roman;serif" w:hAnsi="Times New Roman;serif"/>
          <w:b w:val="false"/>
          <w:color w:val="000000"/>
          <w:sz w:val="20"/>
          <w:shd w:fill="FFFFFF" w:val="clear"/>
        </w:rPr>
        <w:t>and $220.4 million</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color w:val="000000"/>
        </w:rPr>
        <w:t>•    </w:t>
      </w:r>
      <w:r>
        <w:rPr>
          <w:rFonts w:ascii="Times New Roman;serif" w:hAnsi="Times New Roman;serif"/>
          <w:b w:val="false"/>
          <w:color w:val="000000"/>
          <w:sz w:val="20"/>
        </w:rPr>
        <w:t>Platform Contribution was $69.0 million</w:t>
      </w:r>
      <w:r>
        <w:rPr>
          <w:color w:val="000000"/>
          <w:shd w:fill="FFFFFF" w:val="clear"/>
        </w:rPr>
        <w:t xml:space="preserve"> </w:t>
      </w:r>
      <w:r>
        <w:rPr>
          <w:rFonts w:ascii="Times New Roman;serif" w:hAnsi="Times New Roman;serif"/>
          <w:b w:val="false"/>
          <w:color w:val="000000"/>
          <w:sz w:val="20"/>
          <w:shd w:fill="FFFFFF" w:val="clear"/>
        </w:rPr>
        <w:t>and $57.5 million for the three months ended June 30, 2026 and 2025, respectively, and $136.0 million</w:t>
      </w:r>
      <w:r>
        <w:rPr>
          <w:color w:val="000000"/>
        </w:rPr>
        <w:t xml:space="preserve"> </w:t>
      </w:r>
      <w:r>
        <w:rPr>
          <w:rFonts w:ascii="Times New Roman;serif" w:hAnsi="Times New Roman;serif"/>
          <w:b w:val="false"/>
          <w:color w:val="000000"/>
          <w:sz w:val="20"/>
          <w:shd w:fill="FFFFFF" w:val="clear"/>
        </w:rPr>
        <w:t>and $109.2 million</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r>
        <w:rPr>
          <w:rFonts w:ascii="Times New Roman;serif" w:hAnsi="Times New Roman;serif"/>
          <w:b w:val="false"/>
          <w:color w:val="000000"/>
          <w:sz w:val="20"/>
        </w:rPr>
        <w: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    </w:t>
      </w:r>
      <w:r>
        <w:rPr>
          <w:rFonts w:ascii="Times New Roman;serif" w:hAnsi="Times New Roman;serif"/>
          <w:b w:val="false"/>
          <w:color w:val="000000"/>
          <w:sz w:val="20"/>
        </w:rPr>
        <w:t>Adjusted EBITDA was $37.4 million</w:t>
      </w:r>
      <w:r>
        <w:rPr>
          <w:color w:val="000000"/>
          <w:shd w:fill="FFFFFF" w:val="clear"/>
        </w:rPr>
        <w:t xml:space="preserve"> </w:t>
      </w:r>
      <w:r>
        <w:rPr>
          <w:rFonts w:ascii="Times New Roman;serif" w:hAnsi="Times New Roman;serif"/>
          <w:b w:val="false"/>
          <w:color w:val="000000"/>
          <w:sz w:val="20"/>
          <w:shd w:fill="FFFFFF" w:val="clear"/>
        </w:rPr>
        <w:t>and $29.0 million for the three months ended June 30, 2026 and 2025, respectively, and $74.1 million</w:t>
      </w:r>
      <w:r>
        <w:rPr>
          <w:color w:val="000000"/>
        </w:rPr>
        <w:t xml:space="preserve"> </w:t>
      </w:r>
      <w:r>
        <w:rPr>
          <w:rFonts w:ascii="Times New Roman;serif" w:hAnsi="Times New Roman;serif"/>
          <w:b w:val="false"/>
          <w:color w:val="000000"/>
          <w:sz w:val="20"/>
          <w:shd w:fill="FFFFFF" w:val="clear"/>
        </w:rPr>
        <w:t>and $55.9 million</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“Key Metrics and Non-GAAP Financial Measures” below for more information as to how we define and calculate Implemented Providers, Attributed Lives, Practice Collections, Care Margin, Platform Contribution, Platform Contribution Margin, Adjusted EBITDA and Adjusted EBITDA Margin, and for reconciliations of these key metrics and non-GAAP financial measures to the most comparable GAAP measures, including gross profit to Care Margin, gross profit to Platform Contributor, and net income to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 from multiple stakeholders, including health care consumers, health insurers, employers, providers and health systems. Our revenue includes (i) FFS revenue generated from providing healthcare services to patients through Privia Providers of Owned Medical Groups or administrative fees collected for providing administrative services to Non-Owned Medical Groups, (ii) VBC revenue collected on behalf of our providers, through capitated revenue, shared savings (including surplus payments, shared savings, total cost of care budget payments and similar payments) and care management fees (including care management fees, management services fees, care coordination fees and all other similar administrative fees), and (iii) other revenue from additional services, such as concierge services, virtual visits and coding. </w:t>
      </w:r>
    </w:p>
    <w:p>
      <w:pPr>
        <w:pStyle w:val="TextBody"/>
        <w:bidi w:val="0"/>
        <w:spacing w:lineRule="auto" w:line="288" w:before="120" w:after="283"/>
        <w:jc w:val="both"/>
        <w:rPr/>
      </w:pPr>
      <w:r>
        <w:rPr>
          <w:rFonts w:ascii="Times New Roman;serif" w:hAnsi="Times New Roman;serif"/>
          <w:b w:val="false"/>
          <w:i/>
          <w:color w:val="000000"/>
          <w:sz w:val="20"/>
        </w:rPr>
        <w:t>FFS Revenue</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We generate FFS-patient care revenue when we collect reimbursements for FFS medical services provided by Privia Providers. Our agreements with our providers have a multi-year term length and we have historically experienced a 96% provider retention rate, both of which lead to a highly predictable and recurring revenue model. Our FFS contracts with payer partners typically contain annual rate inflators and enhanced commercial FFS rates given our scale in each of our markets. As a result of receiving these rate inflators and enhancements, if we continue to be successful in expanding our provider base, we expect revenue will grow year-over-year in absolute dollars. In addition, in our FFS-patient care revenue, we include collections generated from ancillary services such as clinical laboratory, imaging and pharmacy operations. We also generate FFS-administrative services revenue by providing administration and management services to medical groups which are not owned or consolidated by us. FFS-patient care revenue represented 65.2%</w:t>
      </w:r>
      <w:r>
        <w:rPr>
          <w:color w:val="000000"/>
          <w:shd w:fill="FFFFFF" w:val="clear"/>
        </w:rPr>
        <w:t xml:space="preserve"> </w:t>
      </w:r>
      <w:r>
        <w:rPr>
          <w:rFonts w:ascii="Times New Roman;serif" w:hAnsi="Times New Roman;serif"/>
          <w:b w:val="false"/>
          <w:color w:val="000000"/>
          <w:sz w:val="20"/>
          <w:shd w:fill="FFFFFF" w:val="clear"/>
        </w:rPr>
        <w:t>and 63.6% of total revenue for the three months ended June 30, 2026 and 2025, respectively, and 65.0%</w:t>
      </w:r>
      <w:r>
        <w:rPr>
          <w:color w:val="000000"/>
        </w:rPr>
        <w:t xml:space="preserve"> </w:t>
      </w:r>
      <w:r>
        <w:rPr>
          <w:rFonts w:ascii="Times New Roman;serif" w:hAnsi="Times New Roman;serif"/>
          <w:b w:val="false"/>
          <w:color w:val="000000"/>
          <w:sz w:val="20"/>
          <w:shd w:fill="FFFFFF" w:val="clear"/>
        </w:rPr>
        <w:t>and 64.2%</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 xml:space="preserve">2025, respectively. FFS-administrative services revenue represented </w:t>
      </w:r>
      <w:r>
        <w:rPr>
          <w:rFonts w:ascii="Times New Roman;serif" w:hAnsi="Times New Roman;serif"/>
          <w:b w:val="false"/>
          <w:color w:val="000000"/>
          <w:sz w:val="20"/>
        </w:rPr>
        <w:t>5.3%</w:t>
      </w:r>
      <w:r>
        <w:rPr>
          <w:color w:val="000000"/>
          <w:shd w:fill="FFFFFF" w:val="clear"/>
        </w:rPr>
        <w:t xml:space="preserve"> </w:t>
      </w:r>
      <w:r>
        <w:rPr>
          <w:rFonts w:ascii="Times New Roman;serif" w:hAnsi="Times New Roman;serif"/>
          <w:b w:val="false"/>
          <w:color w:val="000000"/>
          <w:sz w:val="20"/>
          <w:shd w:fill="FFFFFF" w:val="clear"/>
        </w:rPr>
        <w:t>and 6.7% of total revenue for the three months ended June 30, 2026 and 2025, respectively, and 5.2%</w:t>
      </w:r>
      <w:r>
        <w:rPr>
          <w:color w:val="000000"/>
        </w:rPr>
        <w:t xml:space="preserve"> </w:t>
      </w:r>
      <w:r>
        <w:rPr>
          <w:rFonts w:ascii="Times New Roman;serif" w:hAnsi="Times New Roman;serif"/>
          <w:b w:val="false"/>
          <w:color w:val="000000"/>
          <w:sz w:val="20"/>
          <w:shd w:fill="FFFFFF" w:val="clear"/>
        </w:rPr>
        <w:t>and 6.7%</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r>
        <w:rPr>
          <w:rFonts w:ascii="Times New Roman;serif" w:hAnsi="Times New Roman;serif"/>
          <w:b w:val="false"/>
          <w:color w:val="000000"/>
          <w:sz w:val="20"/>
        </w:rPr>
        <w:t xml:space="preserv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VBC Revenue </w:t>
      </w:r>
    </w:p>
    <w:p>
      <w:pPr>
        <w:pStyle w:val="TextBody"/>
        <w:bidi w:val="0"/>
        <w:spacing w:lineRule="auto" w:line="288" w:before="120" w:after="283"/>
        <w:jc w:val="both"/>
        <w:rPr/>
      </w:pPr>
      <w:r>
        <w:rPr>
          <w:rFonts w:ascii="Times New Roman;serif" w:hAnsi="Times New Roman;serif"/>
          <w:b w:val="false"/>
          <w:color w:val="000000"/>
          <w:sz w:val="20"/>
        </w:rPr>
        <w:t>Over time, we create incremental value for our provider partners by enabling them to succeed in VBC arrangements. We generate VBC revenue when our providers are reimbursed through traditional FFS Medicare, Medicare Shared Savings Program (“MSSP”), Medicare Advantage, commercial payers and other existing and emerging direct payer and employer contracting programs. The revenue is primarily collected in the form of (i) capitated revenue earned by providing healthcare services to Medicare Advantage attributed beneficiaries for a defined group of services including professional, institutional and pharmacy through a contract that is typically known as an “at-risk contract,” (ii) shared savings earned based on improved quality and lower cost of care for our attributed lives in VBC incentive arrangements and (iii) care management fees to cover costs of services typically not reimbursed under traditional FFS payment models, including population management, care coordination, advanced technology and analytics. VBC revenue represented 29.2% and 29.3% of total revenue for the three months ended June 30, 2026 and 2025, respectively</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29.4%</w:t>
      </w:r>
      <w:r>
        <w:rPr>
          <w:color w:val="000000"/>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28.6%</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Revenue </w:t>
      </w:r>
    </w:p>
    <w:p>
      <w:pPr>
        <w:pStyle w:val="TextBody"/>
        <w:bidi w:val="0"/>
        <w:spacing w:lineRule="auto" w:line="288" w:before="120" w:after="120"/>
        <w:jc w:val="both"/>
        <w:rPr/>
      </w:pPr>
      <w:r>
        <w:rPr>
          <w:rFonts w:ascii="Times New Roman;serif" w:hAnsi="Times New Roman;serif"/>
          <w:b w:val="false"/>
          <w:color w:val="000000"/>
          <w:sz w:val="20"/>
        </w:rPr>
        <w:t>The remainder of our revenue is derived from leveraging our existing base of providers and patients to deliver value-oriented services such as virtual visits and coding. Other revenue represented 0.3%</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0.4% </w:t>
      </w:r>
      <w:r>
        <w:rPr>
          <w:rFonts w:ascii="Times New Roman;serif" w:hAnsi="Times New Roman;serif"/>
          <w:b w:val="false"/>
          <w:color w:val="000000"/>
          <w:sz w:val="20"/>
          <w:shd w:fill="FFFFFF" w:val="clear"/>
        </w:rPr>
        <w:t xml:space="preserve">of total revenue for the three months ended June 30, 2026 and 2025, respectively, and </w:t>
      </w:r>
      <w:r>
        <w:rPr>
          <w:rFonts w:ascii="Times New Roman;serif" w:hAnsi="Times New Roman;serif"/>
          <w:b w:val="false"/>
          <w:color w:val="000000"/>
          <w:sz w:val="20"/>
        </w:rPr>
        <w:t>0.3%</w:t>
      </w:r>
      <w:r>
        <w:rPr>
          <w:color w:val="000000"/>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0.4%</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00000"/>
          <w:sz w:val="20"/>
          <w:shd w:fill="FFFFFF" w:val="clear"/>
        </w:rPr>
        <w:t>2025, respectively</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Addition of New Providers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increase our provider base will enable us to deliver financial growth as our providers generate both our FFS and VBC revenue. Our existing provider relationships and market share provide us with significant opportunity to grow in both existing and new geographies, and we believe the number of providers joining Privia is a key indicator of the market’s recognition of the attractiveness of our platform to our providers, patients and payers. We intend to increase our provider base in existing and new markets by adding new practices and assisting our existing practices with recruiting new providers, using our in-market and national sales and marketing teams. As we add providers to the Privia Platform, we expect them to contribute incremental economics as we leverage our existing brand and infrastructure, both at the corporate and in-market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Addition of New Patients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add new patients to our provider base in existing and new markets will also enable us to deliver revenue growth in both our FFS and VBC contracts. We believe the number of attributed patient lives in VBC programs is a key driver of our VBC revenue growth. Our branding and marketing strategies to drive growth in our practices have continued to result in increased engagement with new and existing patients. We believe our continued success in growing the visibility of the Privia brand will result in increased patient panels per provider and contribute incremental revenue in both FFS and VBC for our practices.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Expansion to New Markets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our experience to date, we believe Privia can succeed in all reimbursement environments and payment models. The data we collected from older provider cohorts consistently suggest that we improve their performance in both FFS and VBC metrics over time and inform our expectations for our new markets. We believe our in-market operating structure and ability to serve providers wherever they are on their transition to VBC can benefit physicians and providers throughout the U.S. and that our solution is applicable across all 50 states. We enter a market with an asset-light operating model and employ a disciplined, uniform approach to market structure and development. We partner with market leading medical groups and health systems to form anchor relationships and align other independent, affiliated, or employed providers into a single-Tax Identification Number (“TIN”) medical group. Our business model also gives us flexibility for future, incremental growth through the acquisition of minority or majority stakes in our practices and opening de-novo, fully owned sites of care focused on Medicare Advantage and direct contracting models. </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2025, the Company announced it had entered the state of Arizona in partnership with a multi-specialty practice.</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 acquired an ACO business from Evolent Health, Inc., adding over 120,000 attributed lives through the MSSP and various commercial and Medicare Advantage programs.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 May 2026, the Company announced it had entered the state of New Jersey in partnership with Neurology Group of Bergen County.</w:t>
      </w:r>
    </w:p>
    <w:p>
      <w:pPr>
        <w:pStyle w:val="TextBody"/>
        <w:bidi w:val="0"/>
        <w:spacing w:lineRule="auto" w:line="268" w:before="120" w:after="283"/>
        <w:jc w:val="both"/>
        <w:rPr>
          <w:rFonts w:ascii="Times New Roman;serif" w:hAnsi="Times New Roman;serif"/>
          <w:b/>
          <w:i/>
          <w:color w:val="000000"/>
          <w:sz w:val="20"/>
        </w:rPr>
      </w:pPr>
      <w:r>
        <w:rPr>
          <w:rFonts w:ascii="Times New Roman;serif" w:hAnsi="Times New Roman;serif"/>
          <w:b/>
          <w:i/>
          <w:color w:val="000000"/>
          <w:sz w:val="20"/>
        </w:rPr>
        <w:t xml:space="preserve">Provider Satisfaction and Retention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Privia Providers have high satisfaction with their overall performance on our platform, and we strive to continuously improve provider well-being and patient satisfaction. Our percentage of collections model combined with high patient and provider satisfaction results in greater than 90% Practice Collections predictability on a rolling twelve month forward basis. We believe these metrics demonstrate the stability of our provider base and the appeal to prospective providers and patients of our platform.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Payer Contracts and Ability to Move Markets to VBC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FFS and VBC revenue is dependent upon our contracts and relationships with payers. We partner with a large and diverse set of payer groups nationally and in each of our markets to form provider networks and to lower the overall cost of care, and we structure bespoke contracts to help both providers and payers achieve their objectives in a mutually aligned manner. Maintaining, supporting and increasing the number of these contracts and relationships, particularly as we enter new markets, is important for our long-term success. From time to time, we may renegotiate or attempt to renegotiate our payer contracts in the ordinary course of business prior to the expiration of their stated terms. If the counterparties fail to renew their contracts, renew their contracts upon less favorable terms or at lower fee levels or fail to utilize additional products and services obtained from us, or if we fail to renegotiate contracts with our counterparties on favorable terms or at all, our revenue may decline and our future revenue growth may be constrained.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work within each geographic market as it evolves in its shift towards VBC, with our experience working in all reimbursement environments, enables providers to accelerate and succeed in their transition. Our model is aligned with our payer partners, as we have demonstrated improved patient outcomes while driving incremental revenue growth. We intend to accelerate the move towards the adoption of VBC reimbursement in each market in current and emerging payer programs. To do so, we will need to continue enhancing our VBC capabilities and executing on initiatives to deliver next generation access, superior quality metrics and lower cost of care.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number of Privia-owned ACOs is ten.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Capitated revenue is generated through what is typically known as an “at-risk contract.” At-risk capitation refers to a model in which the Company is entitled to fixed monthly fees from the third-party payer in exchange for providing healthcare services to attributed beneficiaries in Medicare Advantage plans. The fees are typically based on a percentage of the defined premium that payers receive from Centers of Medicare and Medicaid Services (“CMS”). The Company is responsible for providing or paying for the cost of healthcare services required by those attributed beneficiaries. At-risk capitated fees are recorded gross in revenues because the Company is acting as a principal in arranging for, providing, and controlling the managed healthcare services provided to the attributed beneficiaries.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Components of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FFS revenue is primarily dependent upon the size of our provider base, payer contracted rates and patient volume. Our ability to maintain or improve pricing levels in our contracts with payers and patient volume for our providers will impact our results of operations. In addition to increasing our provider base and contracted rates over time, we also seek to increase patient volume by demonstrating the ability to provide a better patient experience that leads to higher retention rates and drives referrals to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high quality and value-based providers. Our VBC revenue is primarily dependent upon the number of attributed patients in our VBC arrangements, risk levels of our payer contracts, and effective management of our patients’ total cost of care. As we grow our provider base, we also expect to increase our total number of attributed patients in existing and new markets. In addition, we intend to increase the risk levels of our value-based programs as we seek a higher revenue opportunity on a per patient basis over time.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Investments in Growth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continue focusing on long-term growth through investments in our sales and marketing, our technology-enabled platform, and our operations. In addition, as we continue our efforts to move markets toward VBC, we expect to continue making additional investments in operations for an expanded suite of clinical capabilities to manage our patient population.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launched Privia Care Partners on January 1, 2022 to offer a more flexible affiliation model for providers who do not desire to join one of our medical groups. This model aggregates providers in certain of our existing markets as well as new markets who are looking solely for VBC solutions without the necessity of changing EMR providers. We furnish population health services, reporting and analytics to such providers along with a menu of management services from which providers may choose. We continue to have Privia Care Partners’ providers transitioning to our Privia Medical Group model, which demonstrates the flexibility of our operating model and technology platform, as well as the ability to support physicians wherever they are in their transition to value-based care.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Key Metrics and Non-GAAP Financial Measures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review a number of operating and financial metrics, including the following key metrics and non-GAAP financial measures, to evaluate our business, measure our performance, identify trends affecting our business, formulate our business plans, and make strategic decisions.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Key Metrics</w:t>
      </w:r>
    </w:p>
    <w:tbl>
      <w:tblPr>
        <w:tblW w:w="10205" w:type="dxa"/>
        <w:jc w:val="left"/>
        <w:tblInd w:w="0" w:type="dxa"/>
        <w:tblLayout w:type="fixed"/>
        <w:tblCellMar>
          <w:top w:w="28" w:type="dxa"/>
          <w:left w:w="28" w:type="dxa"/>
          <w:bottom w:w="28" w:type="dxa"/>
          <w:right w:w="28" w:type="dxa"/>
        </w:tblCellMar>
      </w:tblPr>
      <w:tblGrid>
        <w:gridCol w:w="1573"/>
        <w:gridCol w:w="1380"/>
        <w:gridCol w:w="1387"/>
        <w:gridCol w:w="272"/>
        <w:gridCol w:w="796"/>
        <w:gridCol w:w="140"/>
        <w:gridCol w:w="140"/>
        <w:gridCol w:w="140"/>
        <w:gridCol w:w="140"/>
        <w:gridCol w:w="272"/>
        <w:gridCol w:w="796"/>
        <w:gridCol w:w="140"/>
        <w:gridCol w:w="109"/>
        <w:gridCol w:w="109"/>
        <w:gridCol w:w="109"/>
        <w:gridCol w:w="223"/>
        <w:gridCol w:w="812"/>
        <w:gridCol w:w="114"/>
        <w:gridCol w:w="114"/>
        <w:gridCol w:w="114"/>
        <w:gridCol w:w="114"/>
        <w:gridCol w:w="223"/>
        <w:gridCol w:w="812"/>
        <w:gridCol w:w="176"/>
      </w:tblGrid>
      <w:tr>
        <w:trPr/>
        <w:tc>
          <w:tcPr>
            <w:tcW w:w="157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Implemented Providers (as of end of period) </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Attributed Lives (in thousands) (as of end of period) </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Practice Collections </w:t>
            </w: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 in millions)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3"/>
        </w:rPr>
      </w:pPr>
      <w:r>
        <w:rPr>
          <w:rFonts w:ascii="Times New Roman;serif" w:hAnsi="Times New Roman;serif"/>
          <w:b w:val="false"/>
          <w:color w:val="000000"/>
          <w:sz w:val="13"/>
        </w:rPr>
        <w:t>(1) 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w:t>
      </w:r>
    </w:p>
    <w:p>
      <w:pPr>
        <w:pStyle w:val="TextBody"/>
        <w:bidi w:val="0"/>
        <w:spacing w:lineRule="auto" w:line="288" w:before="12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Implemented Providers</w:t>
      </w:r>
    </w:p>
    <w:p>
      <w:pPr>
        <w:pStyle w:val="TextBody"/>
        <w:bidi w:val="0"/>
        <w:spacing w:lineRule="auto" w:line="288" w:before="120" w:after="283"/>
        <w:jc w:val="both"/>
        <w:rPr/>
      </w:pPr>
      <w:r>
        <w:rPr>
          <w:rFonts w:ascii="Times New Roman;serif" w:hAnsi="Times New Roman;serif"/>
          <w:b w:val="false"/>
          <w:color w:val="000000"/>
          <w:sz w:val="20"/>
        </w:rPr>
        <w:t>We define Implemented Providers as the total of all service professionals at the end of a given period who are credentialed and bill for medical services in both Owned and Non-Owned Medical Groups during that period.</w:t>
      </w:r>
      <w:r>
        <w:rPr>
          <w:color w:val="000000"/>
        </w:rPr>
        <w:t xml:space="preserve"> </w:t>
      </w:r>
      <w:r>
        <w:rPr>
          <w:rFonts w:ascii="Times New Roman;serif" w:hAnsi="Times New Roman;serif"/>
          <w:b w:val="false"/>
          <w:color w:val="000000"/>
          <w:sz w:val="20"/>
        </w:rPr>
        <w:t xml:space="preserve">This includes, but is not limited to, physicians, physician assistants, and nurse practitioners. We believe that growth in the number of Implemented Providers is a key indicator of the performance of our business and expected revenue growth. This growth depends, in part, on our ability to successfully add new practices in existing markets and expand into new markets. The number of Implemented Providers increased 10.1% as of June 30, 2026 compared to June 30, 2025, due to organic growth in our healthcare delivery business as well as acquisitions.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Attributed Lives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Attributed Lives as any patient that a payer deems attributed to Privia to deliver care as part of a VBC arrangement through a provider of primary care or specialty services as of the end of a particular period. The number of Attributed Lives is an important measure that impacts the amount of VBC revenue we receive. Attributed Lives increased 19.2% as of June 30, 2026 compared to June 30, 2025, primarily due to acquisitions as well as organic growth.</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Practice Collections </w:t>
      </w:r>
    </w:p>
    <w:p>
      <w:pPr>
        <w:pStyle w:val="TextBody"/>
        <w:bidi w:val="0"/>
        <w:spacing w:lineRule="auto" w:line="288" w:before="120" w:after="283"/>
        <w:jc w:val="both"/>
        <w:rPr/>
      </w:pPr>
      <w:r>
        <w:rPr>
          <w:rFonts w:ascii="Times New Roman;serif" w:hAnsi="Times New Roman;serif"/>
          <w:b w:val="false"/>
          <w:color w:val="000000"/>
          <w:sz w:val="20"/>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adding collections from Non-Owned Medical Groups. FFS arrangements accounted for 80.9% and 81.5% of our practice collections for the three months ended June 30, 2026 and 2025, respectively, and 80.5% and 81.9% for the six months ended June 30, 2026 and 2025, respectively. VBC accounted for 19.0% and 18.3% of practice collections for the three months ended June 30, 2026 and 2025, respectively, and 19.3%</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17.8% for the six months ended June 30, 2026 and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Practice Collections increased 12.4% for the three months ended June 30, 2026 when compared to the same period in 2025, and 13.4% for the six months ended June 30, 2026 when compared to the same period in 2025, mainly due to organic growth of our healthcare delivery business and acquisitions.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Non-GAAP Financial Measures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financial results determined in accordance with GAAP, we believe non-GAAP financials measures including Care Margin, Platform Contribution, Platform Contribution Margin, Adjusted EBITDA and Adjusted EBITDA Margin are useful measures to investors as these are metrics used by management in evaluating our operating performance and in assessing the health of our business. We use these non-GAAP measures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w:t>
      </w:r>
    </w:p>
    <w:p>
      <w:pPr>
        <w:pStyle w:val="TextBody"/>
        <w:bidi w:val="0"/>
        <w:spacing w:lineRule="auto" w:line="288" w:before="120" w:after="283"/>
        <w:jc w:val="both"/>
        <w:rPr/>
      </w:pPr>
      <w:r>
        <w:rPr>
          <w:rFonts w:ascii="Times New Roman;serif" w:hAnsi="Times New Roman;serif"/>
          <w:b w:val="false"/>
          <w:color w:val="000000"/>
          <w:sz w:val="20"/>
        </w:rPr>
        <w:t>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a tool for comparison.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w:t>
      </w:r>
      <w:r>
        <w:rPr>
          <w:rFonts w:ascii="Arial;sans-serif" w:hAnsi="Arial;sans-serif"/>
          <w:b w:val="false"/>
          <w:color w:val="000000"/>
          <w:sz w:val="24"/>
        </w:rPr>
        <w:t>.</w:t>
      </w:r>
    </w:p>
    <w:tbl>
      <w:tblPr>
        <w:tblW w:w="10205" w:type="dxa"/>
        <w:jc w:val="center"/>
        <w:tblInd w:w="0" w:type="dxa"/>
        <w:tblLayout w:type="fixed"/>
        <w:tblCellMar>
          <w:top w:w="28" w:type="dxa"/>
          <w:left w:w="28" w:type="dxa"/>
          <w:bottom w:w="28" w:type="dxa"/>
          <w:right w:w="28" w:type="dxa"/>
        </w:tblCellMar>
      </w:tblPr>
      <w:tblGrid>
        <w:gridCol w:w="1092"/>
        <w:gridCol w:w="959"/>
        <w:gridCol w:w="963"/>
        <w:gridCol w:w="421"/>
        <w:gridCol w:w="486"/>
        <w:gridCol w:w="487"/>
        <w:gridCol w:w="201"/>
        <w:gridCol w:w="201"/>
        <w:gridCol w:w="201"/>
        <w:gridCol w:w="421"/>
        <w:gridCol w:w="486"/>
        <w:gridCol w:w="487"/>
        <w:gridCol w:w="135"/>
        <w:gridCol w:w="135"/>
        <w:gridCol w:w="135"/>
        <w:gridCol w:w="402"/>
        <w:gridCol w:w="486"/>
        <w:gridCol w:w="487"/>
        <w:gridCol w:w="192"/>
        <w:gridCol w:w="192"/>
        <w:gridCol w:w="192"/>
        <w:gridCol w:w="402"/>
        <w:gridCol w:w="426"/>
        <w:gridCol w:w="616"/>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(Amounts in thousands, except for percentages)</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Care Margin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132,146</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115,161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260,876</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220,449</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Platform Contribution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68,989</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136,022</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109,199</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Platform Contribution Margin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 </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37,429</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74,120</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55,907</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Margin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 </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3"/>
              </w:rPr>
            </w:pPr>
            <w:r>
              <w:rPr>
                <w:rFonts w:ascii="Times New Roman;serif" w:hAnsi="Times New Roman;serif"/>
                <w:b w:val="false"/>
                <w:color w:val="000000"/>
                <w:sz w:val="13"/>
              </w:rPr>
              <w:t>(1) See below for more information as to how we define and calculate Care Margin, Platform Contribution, Platform Contribution Margin, Adjusted EBITDA and Adjusted EBITDA Margin and for a reconciliation of Gross Profit, the most comparable GAAP measure, to Care Margin, Gross Profit, the most comparable GAAP measure, to Platform Contribution, and net income, the most comparable GAAP measure, to Adjusted EBITDA.</w:t>
            </w:r>
          </w:p>
        </w:tc>
      </w:tr>
    </w:tbl>
    <w:p>
      <w:pPr>
        <w:pStyle w:val="TextBody"/>
        <w:bidi w:val="0"/>
        <w:spacing w:lineRule="auto" w:line="288" w:before="12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 xml:space="preserve">Care Margin </w:t>
      </w:r>
    </w:p>
    <w:p>
      <w:pPr>
        <w:pStyle w:val="TextBody"/>
        <w:bidi w:val="0"/>
        <w:spacing w:lineRule="auto" w:line="288" w:before="120" w:after="283"/>
        <w:jc w:val="both"/>
        <w:rPr/>
      </w:pPr>
      <w:r>
        <w:rPr>
          <w:rFonts w:ascii="Times New Roman;serif" w:hAnsi="Times New Roman;serif"/>
          <w:b w:val="false"/>
          <w:color w:val="000000"/>
          <w:sz w:val="20"/>
        </w:rPr>
        <w:t>Gross Profit is defined as total revenue less provider expenses and amortization of intangible assets. We define Care Margin as Gross Profit excluding amortization of intangible assets. Our Care Margin generated from FFS revenue is contractual and recurring in nature, and primarily based on an individually negotiated percentage of collections for each practice that joins Privia. Our Care Margin generated from VBC revenue is based on a percentage of care management fees and shared savings collected. We view Care Margin as all of the dollars available for us to manage our business, including providing administrative support to our practices, investing in sales and marketing to attract new providers to the Privia Platform, and supporting the organization through our corporate infrastructure. We expect Care Margin will grow year-over-year in absolute dollars as we continue to expand our provider base. We would also expect our care management and shared savings economics in our VBC arrangements to improve on a per patient basis as we manage towards lower total cost of care for our Attributed Lives and move towards higher risk VBC arrangements over time. Care Margin increased 14.7% for the three months ended June 30, 2026 when compared to the same period in 2025, and increased 18.3% for the six months ended June 30, 2026 when compared to the same period in 2025</w:t>
      </w:r>
      <w:r>
        <w:rPr>
          <w:color w:val="000000"/>
        </w:rPr>
        <w:t xml:space="preserve"> </w:t>
      </w:r>
      <w:r>
        <w:rPr>
          <w:rFonts w:ascii="Times New Roman;serif" w:hAnsi="Times New Roman;serif"/>
          <w:b w:val="false"/>
          <w:color w:val="000000"/>
          <w:sz w:val="20"/>
        </w:rPr>
        <w:t>due to organic growth of our medical practice business. As a percentage of revenue, Care Margin decreased to 20.9% for the three months ended June 30, 2026 from 22.1% for the same period in 2025, and decreased to 21.1% for the six months ended June 30, 2026, compared to 22.0%</w:t>
      </w:r>
      <w:r>
        <w:rPr>
          <w:color w:val="000000"/>
        </w:rPr>
        <w:t xml:space="preserve"> </w:t>
      </w:r>
      <w:r>
        <w:rPr>
          <w:rFonts w:ascii="Times New Roman;serif" w:hAnsi="Times New Roman;serif"/>
          <w:b w:val="false"/>
          <w:color w:val="000000"/>
          <w:sz w:val="20"/>
        </w:rPr>
        <w:t>during the same period in 2025. We continue to make strategic investments to increase services to both our patients and physicians.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financial results determined in accordance with GAAP, we believe Care Margin, a non-GAAP measure, is useful in evaluating our operating performance. We use Care Margin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Care Margin is helpful to our investors as it is a metric used by management in assessing the health of our business and our operating performance.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Gross Profit, exclusive of intangible asset amortization, the most closely comparable GAAP financial measure, to Care Margin: </w:t>
      </w:r>
    </w:p>
    <w:tbl>
      <w:tblPr>
        <w:tblW w:w="9404" w:type="dxa"/>
        <w:jc w:val="left"/>
        <w:tblInd w:w="0" w:type="dxa"/>
        <w:tblLayout w:type="fixed"/>
        <w:tblCellMar>
          <w:top w:w="28" w:type="dxa"/>
          <w:left w:w="28" w:type="dxa"/>
          <w:bottom w:w="28" w:type="dxa"/>
          <w:right w:w="28" w:type="dxa"/>
        </w:tblCellMar>
      </w:tblPr>
      <w:tblGrid>
        <w:gridCol w:w="1064"/>
        <w:gridCol w:w="936"/>
        <w:gridCol w:w="940"/>
        <w:gridCol w:w="109"/>
        <w:gridCol w:w="109"/>
        <w:gridCol w:w="109"/>
        <w:gridCol w:w="229"/>
        <w:gridCol w:w="899"/>
        <w:gridCol w:w="118"/>
        <w:gridCol w:w="118"/>
        <w:gridCol w:w="118"/>
        <w:gridCol w:w="118"/>
        <w:gridCol w:w="229"/>
        <w:gridCol w:w="899"/>
        <w:gridCol w:w="118"/>
        <w:gridCol w:w="109"/>
        <w:gridCol w:w="109"/>
        <w:gridCol w:w="109"/>
        <w:gridCol w:w="211"/>
        <w:gridCol w:w="976"/>
        <w:gridCol w:w="109"/>
        <w:gridCol w:w="109"/>
        <w:gridCol w:w="109"/>
        <w:gridCol w:w="109"/>
        <w:gridCol w:w="211"/>
        <w:gridCol w:w="97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(unaudited and 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Care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132,146 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115,161 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Platform Contribution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define Platform Contribution as Gross Profit, excluding amortization of intangible assets, less cost of platform and excluding stock-based compensation expense included in cost of platform. The following table provides a reconciliation of gross profit, the most closely comparable GAAP financial measure, to Platform Contribution. We consider Platform Contribution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increased 20.1% for the three months ended June 30, 2026 when compared to the same period in 2025, and increased 24.6% for the six months ended June 30, 2026 when compared to the same period in 2025, in each case due to organic growth of our medical practice business and acquisitions.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Gross Profit, the most closely comparable GAAP financial measure, to Platform Contribution:</w:t>
      </w:r>
    </w:p>
    <w:tbl>
      <w:tblPr>
        <w:tblW w:w="9344" w:type="dxa"/>
        <w:jc w:val="left"/>
        <w:tblInd w:w="0" w:type="dxa"/>
        <w:tblLayout w:type="fixed"/>
        <w:tblCellMar>
          <w:top w:w="28" w:type="dxa"/>
          <w:left w:w="28" w:type="dxa"/>
          <w:bottom w:w="28" w:type="dxa"/>
          <w:right w:w="28" w:type="dxa"/>
        </w:tblCellMar>
      </w:tblPr>
      <w:tblGrid>
        <w:gridCol w:w="1042"/>
        <w:gridCol w:w="917"/>
        <w:gridCol w:w="921"/>
        <w:gridCol w:w="109"/>
        <w:gridCol w:w="109"/>
        <w:gridCol w:w="109"/>
        <w:gridCol w:w="229"/>
        <w:gridCol w:w="899"/>
        <w:gridCol w:w="118"/>
        <w:gridCol w:w="118"/>
        <w:gridCol w:w="118"/>
        <w:gridCol w:w="118"/>
        <w:gridCol w:w="229"/>
        <w:gridCol w:w="899"/>
        <w:gridCol w:w="118"/>
        <w:gridCol w:w="109"/>
        <w:gridCol w:w="109"/>
        <w:gridCol w:w="109"/>
        <w:gridCol w:w="211"/>
        <w:gridCol w:w="976"/>
        <w:gridCol w:w="109"/>
        <w:gridCol w:w="109"/>
        <w:gridCol w:w="109"/>
        <w:gridCol w:w="109"/>
        <w:gridCol w:w="211"/>
        <w:gridCol w:w="97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(unaudited and 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platform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Platform Contribution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344"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 Amount represents stock-based compensation expense included in cost of platform.</w:t>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Platform Contribution Margin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Platform Contribution Margin as Platform Contribution as a percentage of Care Margin. We consider Platform Contribution Margin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Margin was 52.2% for three months ended June 30, 2026 compared to 49.9% during the same period in 2025, and 52.1% for the six months ended June 30, 2026 compared to 49.5% during the same period in 2025. We continue to make strategic investments intended to provide better service to both our patients and physicians at a pace slower than the increase in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financial results determined in accordance with GAAP, we believe Platform Contribution and Platform Contribution Margin, each a non-GAAP measure, are useful in evaluating our operating performance. We use Platform Contribution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 In particular, we believe that the use of Platform Contribution is helpful to our investors as they are metrics used by management in assessing the health of our business and our operating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Adjusted EBITDA </w:t>
      </w:r>
    </w:p>
    <w:p>
      <w:pPr>
        <w:pStyle w:val="TextBody"/>
        <w:bidi w:val="0"/>
        <w:spacing w:lineRule="auto" w:line="288" w:before="120" w:after="283"/>
        <w:jc w:val="both"/>
        <w:rPr/>
      </w:pPr>
      <w:r>
        <w:rPr>
          <w:rFonts w:ascii="Times New Roman;serif" w:hAnsi="Times New Roman;serif"/>
          <w:b w:val="false"/>
          <w:color w:val="000000"/>
          <w:sz w:val="20"/>
        </w:rPr>
        <w:t>We define Adjusted EBITDA as net income before interest income, net, provision for income taxes, net income attributable to non-controlling interests, depreciation and amortization, non-cash stock-based compensation, and other expenses including employer taxes on equity vesting and exercises and other certain non-recurring items such as severance, contingent and deferred consideration and other non-recurring income/expenses. We include Adjusted EBITDA because it is an important measure by which we assess, and believe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reflect the impact of stock-based compensation expense, and (ii) Adjusted EBITDA does not reflect in</w:t>
      </w:r>
      <w:r>
        <w:rPr>
          <w:rFonts w:ascii="Times New Roman;serif" w:hAnsi="Times New Roman;serif"/>
          <w:b w:val="false"/>
          <w:color w:val="000000"/>
          <w:sz w:val="20"/>
          <w:shd w:fill="FFFFFF" w:val="clear"/>
        </w:rPr>
        <w:t>terest expense on our debt or the cash requirements necessary to service interest or principal payme</w:t>
      </w:r>
      <w:r>
        <w:rPr>
          <w:rFonts w:ascii="Times New Roman;serif" w:hAnsi="Times New Roman;serif"/>
          <w:b w:val="false"/>
          <w:color w:val="000000"/>
          <w:sz w:val="20"/>
        </w:rPr>
        <w:t>nts. Adjusted EBITDA increased by 29.1% for the three months ended June 30, 2026 when compared to the same period in 2025, and increased to 32.6% for the six months ended June 30, 2026 when compared to the same period in 2025, due to organic growth of our business, acquisitions and growth in Attributed Lives.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Adjusted EBITDA Margin </w:t>
      </w:r>
    </w:p>
    <w:p>
      <w:pPr>
        <w:pStyle w:val="TextBody"/>
        <w:bidi w:val="0"/>
        <w:spacing w:lineRule="auto" w:line="288" w:before="120" w:after="283"/>
        <w:jc w:val="both"/>
        <w:rPr/>
      </w:pPr>
      <w:r>
        <w:rPr>
          <w:rFonts w:ascii="Times New Roman;serif" w:hAnsi="Times New Roman;serif"/>
          <w:b w:val="false"/>
          <w:color w:val="000000"/>
          <w:sz w:val="20"/>
        </w:rPr>
        <w:t>We define Adjusted EBITDA Margin as Adjusted EBITDA as a percentage of Care Margin. We included Adjusted EBITDA Margin because it is an important measure by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 Adjusted EBITDA Margin was 28.3% for three months ended June 30, 2026, an increase from 25.2% for the same period in 2025, and 28.4% for the six months ended June 30, 2026, an increase from 25.4% for the same period in 2025</w:t>
      </w:r>
      <w:r>
        <w:rPr>
          <w:color w:val="000000"/>
        </w:rPr>
        <w:t xml:space="preserve"> </w:t>
      </w:r>
      <w:r>
        <w:rPr>
          <w:rFonts w:ascii="Times New Roman;serif" w:hAnsi="Times New Roman;serif"/>
          <w:b w:val="false"/>
          <w:color w:val="000000"/>
          <w:sz w:val="20"/>
        </w:rPr>
        <w:t>due to organic growth of our medical practice business and growth in our value based care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Adjusted EBITDA and Adjusted EBITDA Margin, when taken together with the corresponding GAAP financial measures, provide meaningful supplemental information regarding our performance by excluding certain items that may not be indicative of our business, results of operations or outlook. In particular, we believe that the use of Adjusted EBITDA and Adjusted EBITDA Margin is helpful to our investors as they are metrics used by management in assessing the health of our business and our operating performance.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attributable to the Company, the most closely comparable GAAP financial measure, to Adjusted EBITDA:</w:t>
      </w:r>
    </w:p>
    <w:tbl>
      <w:tblPr>
        <w:tblW w:w="10205" w:type="dxa"/>
        <w:jc w:val="left"/>
        <w:tblInd w:w="0" w:type="dxa"/>
        <w:tblLayout w:type="fixed"/>
        <w:tblCellMar>
          <w:top w:w="28" w:type="dxa"/>
          <w:left w:w="28" w:type="dxa"/>
          <w:bottom w:w="28" w:type="dxa"/>
          <w:right w:w="28" w:type="dxa"/>
        </w:tblCellMar>
      </w:tblPr>
      <w:tblGrid>
        <w:gridCol w:w="1498"/>
        <w:gridCol w:w="1282"/>
        <w:gridCol w:w="1286"/>
        <w:gridCol w:w="109"/>
        <w:gridCol w:w="109"/>
        <w:gridCol w:w="109"/>
        <w:gridCol w:w="245"/>
        <w:gridCol w:w="842"/>
        <w:gridCol w:w="126"/>
        <w:gridCol w:w="126"/>
        <w:gridCol w:w="126"/>
        <w:gridCol w:w="126"/>
        <w:gridCol w:w="245"/>
        <w:gridCol w:w="842"/>
        <w:gridCol w:w="126"/>
        <w:gridCol w:w="109"/>
        <w:gridCol w:w="109"/>
        <w:gridCol w:w="109"/>
        <w:gridCol w:w="230"/>
        <w:gridCol w:w="787"/>
        <w:gridCol w:w="118"/>
        <w:gridCol w:w="118"/>
        <w:gridCol w:w="118"/>
        <w:gridCol w:w="118"/>
        <w:gridCol w:w="230"/>
        <w:gridCol w:w="787"/>
        <w:gridCol w:w="175"/>
      </w:tblGrid>
      <w:tr>
        <w:trPr/>
        <w:tc>
          <w:tcPr>
            <w:tcW w:w="149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(unaudited and 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3"/>
              </w:rPr>
            </w:pPr>
            <w:r>
              <w:rPr>
                <w:rFonts w:ascii="Times New Roman;serif" w:hAnsi="Times New Roman;serif"/>
                <w:b w:val="false"/>
                <w:color w:val="000000"/>
                <w:sz w:val="13"/>
              </w:rPr>
              <w:t>(1) Other expenses include employer taxes on equity vesting/exercises, severance, contingent and deferred consideration, and certain non-recurring costs.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noted above under “Our Revenue,” revenue is earned in three main categories: FFS revenue, VBC revenue and other revenue.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Provider expenses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Provider expenses are amounts accrued or payments made to physicians, hospitals and other service providers, including Privia physicians, their related physician practices, and providers the Company has contracted with through payer partners. Those costs include physician guaranteed payments and other required distributions pursuant to the service agreements as well as medical claims costs for services provided to attributed beneficiaries under at-risk capitated revenue arrangements for which the Company is financially responsible, whether paid directly by the Company or indirectly by payers with whom the Company has contracted. Provider expenses are recognized in the period in which services are provided.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Cost of platform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Third-party EMR and practice management software expenses are paid on a percentage of revenue basis, while we pay most of the costs of our platform on a variable basis related to the number of implemented physicians we service. In addition, expenses contain stock-based compensation related to employees that provide cost of platform services but exclude any depreciation and amortization expense. Software development costs that do not meet capitalization criteria are expensed as incurred. As we continue to grow, we expect the cost of platform to continue to grow at a rate slower than the revenue growth rate.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Sales and marketing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of employee-related expenses, including salaries, commissions, stock-based compensation, and employee benefits costs, for all of our employees engaged in marketing, sales, community outreach, and sales support. In addition, sales and marketing expenses also include central and community-based advertising to generate greater awareness, engagement, and retention among our current and prospective patients as well as the infrastructure required to support all of our marketing efforts.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Corporate, general and administrative expenses include employee-related expenses, including salaries and related costs and stock-based compensation, technology infrastructure, occupancy costs, operations, clinical and quality support, finance, legal, human resources, and development departments.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Depreciation and amortization expense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are primarily attributable to our capital investment and consist of fixed asset depreciation and amortization of intangibles considered to have definite lives. We do not allocate depreciation and amortization expenses to other operating expense categories.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earned by the Company on bank balances, offset by interest expense (including deferred financing costs) on any outstanding borrowings. See “Liquidity and Capital Resources-General and Liquidity and Capital Resources-Indebtedness.”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condensed consolidated statements of operations data for the three and six months ended June 30, 2026 and 2025: </w:t>
      </w:r>
    </w:p>
    <w:tbl>
      <w:tblPr>
        <w:tblW w:w="12893" w:type="dxa"/>
        <w:jc w:val="left"/>
        <w:tblInd w:w="0" w:type="dxa"/>
        <w:tblLayout w:type="fixed"/>
        <w:tblCellMar>
          <w:top w:w="28" w:type="dxa"/>
          <w:left w:w="28" w:type="dxa"/>
          <w:bottom w:w="28" w:type="dxa"/>
          <w:right w:w="28" w:type="dxa"/>
        </w:tblCellMar>
      </w:tblPr>
      <w:tblGrid>
        <w:gridCol w:w="760"/>
        <w:gridCol w:w="325"/>
        <w:gridCol w:w="32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307"/>
        <w:gridCol w:w="309"/>
        <w:gridCol w:w="36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307"/>
        <w:gridCol w:w="309"/>
        <w:gridCol w:w="418"/>
      </w:tblGrid>
      <w:tr>
        <w:trPr/>
        <w:tc>
          <w:tcPr>
            <w:tcW w:w="7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platform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Privia Health Group, Inc.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revenues disaggregated by source: </w:t>
      </w:r>
    </w:p>
    <w:tbl>
      <w:tblPr>
        <w:tblW w:w="12938" w:type="dxa"/>
        <w:jc w:val="left"/>
        <w:tblInd w:w="0" w:type="dxa"/>
        <w:tblLayout w:type="fixed"/>
        <w:tblCellMar>
          <w:top w:w="28" w:type="dxa"/>
          <w:left w:w="28" w:type="dxa"/>
          <w:bottom w:w="28" w:type="dxa"/>
          <w:right w:w="28" w:type="dxa"/>
        </w:tblCellMar>
      </w:tblPr>
      <w:tblGrid>
        <w:gridCol w:w="613"/>
        <w:gridCol w:w="526"/>
        <w:gridCol w:w="52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36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418"/>
      </w:tblGrid>
      <w:tr>
        <w:trPr/>
        <w:tc>
          <w:tcPr>
            <w:tcW w:w="61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FFS-patient care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FFS-administrative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Shared 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management fees (PMPM)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 was $632.6 million for the three months ended June 30, 2026, an increase from $521.2 million for the three months ended June 30, 2025. Key drivers of this revenue growth include: FFS–patient care revenue, which increased $81.2 million, primarily attributable to the addition of new providers and increase in visit volume; an increase in capitated revenue of $19.6 million due to an increase in Attributed Lives related to capitated arrangements; an increase in shared savings revenue of $8.9 million during the three months ended June 30, 2026, primarily due to timing of certain shared savings accruals and settlements; an increase in Attributed Lives in Medicare programs and continued strong performance in our value based care programs in the aggregate; and an increase in PMPM revenue of $3.8 million, primarily due to increased Attributed Lives.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was $1.24 billion for the six months ended June 30, 2026, an increase from $1.00 billion for the six months ended June 30, 2025. Key drivers of this revenue growth include: FFS–patient care revenue, which increased $160.5 million, primarily attributable to the addition of new providers and increase in visit volume; an increase in shared savings revenue of $36.0 million during the six months ended June 30, 2026, primarily due to timing of certain shared savings accruals and settlements; an increase in capitated revenue of $35.1 million due to an increase in Attributed Lives related to capitated arrangements; an increase in Attributed Lives in Medicare programs and continued strong performance in our value based care programs in the aggregate; and an increase in PMPM revenue of $6.5 million, primarily due to increased Attributed Lives.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tbl>
      <w:tblPr>
        <w:tblW w:w="12773" w:type="dxa"/>
        <w:jc w:val="left"/>
        <w:tblInd w:w="0" w:type="dxa"/>
        <w:tblLayout w:type="fixed"/>
        <w:tblCellMar>
          <w:top w:w="28" w:type="dxa"/>
          <w:left w:w="28" w:type="dxa"/>
          <w:bottom w:w="28" w:type="dxa"/>
          <w:right w:w="28" w:type="dxa"/>
        </w:tblCellMar>
      </w:tblPr>
      <w:tblGrid>
        <w:gridCol w:w="598"/>
        <w:gridCol w:w="526"/>
        <w:gridCol w:w="52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367"/>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418"/>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platform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Provider expenses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Provider expenses were $500.5 million for the three months ended June 30, 2026 compared to $406.0 million for the same period in 2025, and $975.6 million for the six months ended June 30, 2026 compared to $780.8 million for the same period in 2025. The increase was driven primarily by higher FFS-patient care revenue and growth in Implemented Providers during 2026.</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Cost of platform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platform expenses were $69.4 million for the three months ended June 30, 2026 compared to $64.9 million for the same period in 2025. The increase was driven by an increase in salaries and benefits of $1.9 million related to continued growth during the three months ended June 30, 2026; and an increase in platform costs of $1.9 million, primarily related to an increase in Implemented Providers.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platform expenses were $137.8 million for the six months ended June 30, 2026 compared to $124.4 million for the same period in 2025. The increase was driven by an increase in salaries and benefits of $7.1 million related to continued growth during the six months ended June 30, 2026; an increase in platform costs of $3.6 million, primarily related to an increase in Implemented Providers; and an increase in $2.5 million in professional services related to additional consulting services.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Sales and marketing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were $8.0 million for the three months ended June 30, 2026 compared to $6.8 million for the same period in 2025. The increase was driven by an increase in salaries and benefits of $0.5 million; and an increase in stock-based compensation expense of $0.2 million due to an increase in stock-based awards granted in 2026 compared to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were $16.1 million for the six months ended June 30, 2026 compared to $13.7 million for the same period in 2025. The increase was primarily driven by an increase in stock-based compensation expense of $0.8 million due to an increase in stock-based awards granted in 2026 compared to 2025; and an increase in salaries and benefits of $0.6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$39.7 million for the three months ended June 30, 2026 compared to $37.5 million for the same period in 2025. The increase was driven by an increase of $1.4 million in stock-based compensation expense primarily attributed to an increase in stock-based awards granted in 2026 compared to 2025; and an increase of salaries and benefits of $0.3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$81.1 million for the six months ended June 30, 2026 compared to $69.2 million for the same period in 2025. The increase was driven by an increase of $4.2 million in stock-based compensation expense primarily attributed to an increase in stock-based awards granted in 2026 compared to 2025; an increase of salaries and benefits of $3.4 million and various other immaterial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Depreciation and amortization expense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were $3.4 million for the three months ended June 30, 2026 compared to $2.6 million for the same period in 2025, and $6.6 million for the six months ended June 30, 2026 compared to $4.5 million for the same period in 2025. This increase was primarily driven by amortization of intangible assets related to acquisitions in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was $3.3 million for the three and six months ended June 30, 2026, an increase from 2025 primarily attributable to one-time non-recurring transactional activities during the period.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income was $1.7 million for the three months ended June 30, 2026 compared to $2.4 million for the same period in 2025, and $3.6 million for the six months ended June 30, 2026 compared to $5.3 million for the same period in 2025. Interest income is primarily based on the cash balance held in interest bearing accounts.</w:t>
      </w:r>
    </w:p>
    <w:p>
      <w:pPr>
        <w:pStyle w:val="TextBody"/>
        <w:bidi w:val="0"/>
        <w:spacing w:lineRule="auto" w:line="288" w:before="120" w:after="283"/>
        <w:jc w:val="both"/>
        <w:rPr/>
      </w:pPr>
      <w:r>
        <w:rPr>
          <w:rFonts w:ascii="Times New Roman;serif" w:hAnsi="Times New Roman;serif"/>
          <w:b w:val="false"/>
          <w:i/>
          <w:color w:val="000000"/>
          <w:sz w:val="20"/>
        </w:rPr>
        <w:t>Provision for income taxes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$7.0 million for the three months ended June 30, 2026, compared to the provision for income taxes of $2.5 million for the same period in 2025. The change was primarily attributable to tax impacts associated with share-based compensation, specifically stock option exercises and the vesting of restricted stock units, as well as certain one time, non-recurring transactions occurring during the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$12.6 million for the six months ended June 30, 2026, compared to the provision for income taxes of $4.6 million for the same period in 2025. The change was primarily attributable to tax impacts associated with share-based compensation, specifically stock option exercises and the vesting of restricted stock units, as well as certain one time, non-recurring transactions occurring during the period.</w:t>
      </w:r>
    </w:p>
    <w:p>
      <w:pPr>
        <w:pStyle w:val="TextBody"/>
        <w:bidi w:val="0"/>
        <w:spacing w:lineRule="auto" w:line="26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Net income attributable to non-controlling interests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was $0.7 million for the three months ended June 30, 2026 compared to $0.6 million during the same period in 2025, and $1.3 million for the six months ended June 30, 2026, a decrease compared to a net income of $2.4 million during the same period in 2025. The change is primarily due to the repurchase of non-controlling interests during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283"/>
        <w:jc w:val="both"/>
        <w:rPr/>
      </w:pPr>
      <w:r>
        <w:rPr>
          <w:rFonts w:ascii="Times New Roman;serif" w:hAnsi="Times New Roman;serif"/>
          <w:b w:val="false"/>
          <w:color w:val="000000"/>
          <w:sz w:val="20"/>
        </w:rPr>
        <w:t>To date, we have financed our operations principally through sale of our equity, payments received from various payers and through borrowings under the prior Revolving Credit Agreement. As of June 30, 2026, we had cash and cash equivalents of $412.2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Our cash and cash equivalents primarily consist of highly liquid investments in money market funds and cash.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together with cash flows from operations, will provide adequate resources to fund our short-term and long-term operating and capital needs.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and the timing and extent of spending to increase our sales and marketing activities. We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We maintain a Revolving Credit Agreement, and we may be required to seek additional equity or debt financing in the future.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Indebtedness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7. “Debt” for discussion on our Revolving Credit Facility.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cash requirements within the next twelve months include provider liabilities, accounts payable and accrued liabilities, and purchase commitments and other obligations. We expect the cash required to meet these obligations to be primarily generated through cash flows from operations and our available cash. Based on current and anticipated levels of operations, we anticipate that net cash provided by operating activities, together with the available cash on hand at June 30, 2026, should be adequate to meet anticipated cash requirements for the short term (next 12 months) and long term (beyond 12 months).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our condensed consolidated cash flows from operating, investing and financing activities for the periods indicated. </w:t>
      </w:r>
    </w:p>
    <w:tbl>
      <w:tblPr>
        <w:tblW w:w="7583" w:type="dxa"/>
        <w:jc w:val="left"/>
        <w:tblInd w:w="0" w:type="dxa"/>
        <w:tblLayout w:type="fixed"/>
        <w:tblCellMar>
          <w:top w:w="28" w:type="dxa"/>
          <w:left w:w="28" w:type="dxa"/>
          <w:bottom w:w="28" w:type="dxa"/>
          <w:right w:w="28" w:type="dxa"/>
        </w:tblCellMar>
      </w:tblPr>
      <w:tblGrid>
        <w:gridCol w:w="1766"/>
        <w:gridCol w:w="1551"/>
        <w:gridCol w:w="1557"/>
        <w:gridCol w:w="211"/>
        <w:gridCol w:w="796"/>
        <w:gridCol w:w="109"/>
        <w:gridCol w:w="109"/>
        <w:gridCol w:w="109"/>
        <w:gridCol w:w="109"/>
        <w:gridCol w:w="211"/>
        <w:gridCol w:w="901"/>
        <w:gridCol w:w="154"/>
      </w:tblGrid>
      <w:tr>
        <w:trPr/>
        <w:tc>
          <w:tcPr>
            <w:tcW w:w="176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200" w:after="283"/>
              <w:jc w:val="both"/>
              <w:rPr>
                <w:rFonts w:ascii="Times New Roman;serif" w:hAnsi="Times New Roman;serif"/>
                <w:b/>
                <w:color w:val="000000"/>
                <w:sz w:val="20"/>
              </w:rPr>
            </w:pPr>
            <w:r>
              <w:rPr>
                <w:rFonts w:ascii="Times New Roman;serif" w:hAnsi="Times New Roman;serif"/>
                <w:b/>
                <w:color w:val="000000"/>
                <w:sz w:val="20"/>
              </w:rPr>
              <w:t>Condensed Consolidated Statements of Cash Flows Data:</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$48.4 million for the six months ended June 30, 2026 compared to $16.1 million for the same period in 2025. Significant changes impacting net cash used in operating activities for the six months ended June 30, 2026 compared to the same period in 2025 were as follows: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net income of $4.1 million compared to the same period in 2025. Net income was $13.4 million for the six months ended June 30, 2026 compared to income of $9.3 million for the same period in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$180.9 million in accounts receivable and prepaid and other current assets, for the six months ended June 30, 2026 compared to the same period in 2025 of $142.8 million, a difference of $38.1 million. The change is primarily due to an increase in FFS and VBC revenue.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$71.0 million in Provider liability for the six months ended June 30, 2026 compared to $81.2 million during the same period in 2025, a difference of $(10.2) million. The change is primarily due to the timing of distributions to providers partially offset by an increase in Implemented Providers and an increase in provider expenses related to the increase in FFS and VBC revenue.</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20" w:after="283"/>
        <w:jc w:val="both"/>
        <w:rPr/>
      </w:pPr>
      <w:r>
        <w:rPr>
          <w:rFonts w:ascii="Times New Roman;serif" w:hAnsi="Times New Roman;serif"/>
          <w:b w:val="false"/>
          <w:color w:val="000000"/>
          <w:sz w:val="20"/>
        </w:rPr>
        <w:t>Net cash used in investing activities was $11.5 million for the six months ended June 30, 2026 compared to $89.1 million</w:t>
      </w:r>
      <w:r>
        <w:rPr>
          <w:color w:val="000000"/>
        </w:rPr>
        <w:t xml:space="preserve"> </w:t>
      </w:r>
      <w:r>
        <w:rPr>
          <w:rFonts w:ascii="Times New Roman;serif" w:hAnsi="Times New Roman;serif"/>
          <w:b w:val="false"/>
          <w:color w:val="000000"/>
          <w:sz w:val="20"/>
        </w:rPr>
        <w:t>during the same period in 2025, primarily due to business acquisitions during the second quarter of 2025 and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$7.6 million for the six months ended June 30, 2026, compared to net cash provided of $4.1 million for financing activities for the same period in 2025. The change is primarily due to a repurchase of non-controlling interest during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Contractual Obligations, Commitments and Contingencies </w:t>
      </w:r>
    </w:p>
    <w:p>
      <w:pPr>
        <w:pStyle w:val="TextBody"/>
        <w:bidi w:val="0"/>
        <w:spacing w:lineRule="auto" w:line="288" w:before="120" w:after="283"/>
        <w:jc w:val="both"/>
        <w:rPr/>
      </w:pPr>
      <w:r>
        <w:rPr>
          <w:rFonts w:ascii="Times New Roman;serif" w:hAnsi="Times New Roman;serif"/>
          <w:b w:val="false"/>
          <w:i/>
          <w:color w:val="000000"/>
          <w:sz w:val="20"/>
        </w:rPr>
        <w:t xml:space="preserve">Operating Leases. </w:t>
      </w:r>
      <w:r>
        <w:rPr>
          <w:rFonts w:ascii="Times New Roman;serif" w:hAnsi="Times New Roman;serif"/>
          <w:b w:val="false"/>
          <w:color w:val="000000"/>
          <w:sz w:val="20"/>
        </w:rPr>
        <w:t xml:space="preserve">The Company leases office space under various operating lease agreements. The initial terms of these leases range from 2 to 9 years and generally provide for periodic rent increases, renewal, and termination options. </w:t>
      </w:r>
      <w:r>
        <w:rPr>
          <w:rFonts w:ascii="Times New Roman;serif" w:hAnsi="Times New Roman;serif"/>
          <w:b w:val="false"/>
          <w:color w:val="000000"/>
          <w:sz w:val="20"/>
          <w:shd w:fill="FFFFFF" w:val="clear"/>
        </w:rPr>
        <w:t>Total rent expense under operating leases was</w:t>
      </w:r>
      <w:r>
        <w:rPr>
          <w:color w:val="000000"/>
        </w:rPr>
        <w:t xml:space="preserve"> </w:t>
      </w:r>
      <w:r>
        <w:rPr>
          <w:rFonts w:ascii="Times New Roman;serif" w:hAnsi="Times New Roman;serif"/>
          <w:b w:val="false"/>
          <w:color w:val="000000"/>
          <w:sz w:val="20"/>
        </w:rPr>
        <w:t>$0.8 million and $0.7 million</w:t>
      </w:r>
      <w:r>
        <w:rPr>
          <w:color w:val="000000"/>
        </w:rPr>
        <w:t xml:space="preserve"> </w:t>
      </w:r>
      <w:r>
        <w:rPr>
          <w:rFonts w:ascii="Times New Roman;serif" w:hAnsi="Times New Roman;serif"/>
          <w:b w:val="false"/>
          <w:color w:val="000000"/>
          <w:sz w:val="20"/>
        </w:rPr>
        <w:t>for the three months ended June 30, 2026 and 2025, respectively, and $1.6 million</w:t>
      </w:r>
      <w:r>
        <w:rPr>
          <w:color w:val="000000"/>
        </w:rPr>
        <w:t xml:space="preserve"> </w:t>
      </w:r>
      <w:r>
        <w:rPr>
          <w:rFonts w:ascii="Times New Roman;serif" w:hAnsi="Times New Roman;serif"/>
          <w:b w:val="false"/>
          <w:color w:val="000000"/>
          <w:sz w:val="20"/>
        </w:rPr>
        <w:t>and $1.4 million</w:t>
      </w:r>
      <w:r>
        <w:rPr>
          <w:color w:val="000000"/>
        </w:rPr>
        <w:t xml:space="preserve"> </w:t>
      </w:r>
      <w:r>
        <w:rPr>
          <w:rFonts w:ascii="Times New Roman;serif" w:hAnsi="Times New Roman;serif"/>
          <w:b w:val="false"/>
          <w:color w:val="000000"/>
          <w:sz w:val="20"/>
        </w:rPr>
        <w:t>for the six months ended June 30, 2026 and 2025, respectively.</w:t>
      </w:r>
    </w:p>
    <w:p>
      <w:pPr>
        <w:pStyle w:val="TextBody"/>
        <w:bidi w:val="0"/>
        <w:spacing w:lineRule="auto" w:line="288" w:before="120" w:after="283"/>
        <w:jc w:val="both"/>
        <w:rPr/>
      </w:pPr>
      <w:r>
        <w:rPr>
          <w:rFonts w:ascii="Times New Roman;serif" w:hAnsi="Times New Roman;serif"/>
          <w:b w:val="false"/>
          <w:i/>
          <w:color w:val="000000"/>
          <w:sz w:val="20"/>
        </w:rPr>
        <w:t>Off Balance Sheet Obligations.</w:t>
      </w:r>
      <w:r>
        <w:rPr>
          <w:color w:val="000000"/>
        </w:rPr>
        <w:t xml:space="preserve"> </w:t>
      </w:r>
      <w:r>
        <w:rPr>
          <w:rFonts w:ascii="Times New Roman;serif" w:hAnsi="Times New Roman;serif"/>
          <w:b w:val="false"/>
          <w:color w:val="000000"/>
          <w:sz w:val="20"/>
        </w:rPr>
        <w:t xml:space="preserve">We do not have any off-balance sheet arrangements as of June 30, 2026. </w:t>
      </w:r>
    </w:p>
    <w:p>
      <w:pPr>
        <w:pStyle w:val="TextBody"/>
        <w:bidi w:val="0"/>
        <w:spacing w:lineRule="auto" w:line="288" w:before="120" w:after="283"/>
        <w:jc w:val="both"/>
        <w:rPr/>
      </w:pP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See Note 10. “Commitments and Contingencies” for further discussion on our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condensed consolidated financial statements, which have been prepared in accordance with GAAP. The preparation of condensed consolidated financial statements in conformity with GAAP requires management to make estimates and assumptions that affect the reported amounts of assets, liabilities, revenue, expenses, and related disclosure. On an on-going basis we evaluate significant estimates and assumptions, including, but not limited to, provider liability, revenue recognition, stock-based compensation, estimated useful lives of assets,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critical accounting policies reported in the Annual Report that affect our significant judgments and estimates used in the preparation 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with respect to this item from the disclosure included in our Annual Report on Form 10-K for the year ended December 31, 2025. For a discussion of our market risk, see “Quantitative and Qualitative Disclosures About Market Risk” in Part II, Item 7A. of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management, including our Chief Executive Officer and Chief Financial Officer, we have evaluated the effectiveness of our disclosure controls and procedures (as defined in Rules 13a-15(e) and 15d-15(e) under the Exchange Act), as of the end of the period covered by this report. Based on that evaluation, the Chief Executive Officer and Chief Financial Officer have concluded that these disclosure controls and procedures were effective as of June 30,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to our Internal Controls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made to the Company’s internal control over financial reporting during the six months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ITEM 1. LEGAL PROCEEDINGS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description of our legal proceedings is included in and incorporated by reference to Note 10. “Commitments and Contingencies” of Notes to the Condensed Consolidated Financial Statements included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the Company’s Annual Report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2026, Parth Mehrotra, the Company’s Chief Executive Officer and a member of the Board, terminated a trading plan for the sale of securities intended to satisfy the affirmative defense conditions of Rule 10b5-1 of the Exchange Act, which he adopted on May 27, 2025 and was scheduled to end on December 31, 2026, with a duration of approximately sixteen months (“the Terminated Mehrotra Plan”). The aggregate amount of securities that could have been sold under the Terminated Mehrotra Plan was 685,270.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9"/>
        <w:gridCol w:w="281"/>
        <w:gridCol w:w="283"/>
        <w:gridCol w:w="109"/>
        <w:gridCol w:w="109"/>
        <w:gridCol w:w="109"/>
        <w:gridCol w:w="2619"/>
        <w:gridCol w:w="2619"/>
        <w:gridCol w:w="3757"/>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2q26.htm">
              <w:r>
                <w:rPr>
                  <w:rStyle w:val="InternetLink"/>
                  <w:rFonts w:ascii="Times New Roman;serif" w:hAnsi="Times New Roman;serif"/>
                  <w:b w:val="false"/>
                  <w:color w:val="0000FF"/>
                  <w:sz w:val="18"/>
                  <w:u w:val="single"/>
                </w:rPr>
                <w:t>Certification of the Chief Executive Officer pursuant to Exchange Act Rules Rule 13a-14(a), as adopted pursuant to Section 302 of the Sarbanes-Oxley Act of 2002, filed herewith.</w:t>
              </w:r>
            </w:hyperlink>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2q26.htm">
              <w:r>
                <w:rPr>
                  <w:rStyle w:val="InternetLink"/>
                  <w:rFonts w:ascii="Times New Roman;serif" w:hAnsi="Times New Roman;serif"/>
                  <w:b w:val="false"/>
                  <w:color w:val="0000FF"/>
                  <w:sz w:val="18"/>
                  <w:u w:val="single"/>
                </w:rPr>
                <w:t>Certification of the Chief Financial Officer pursuant to Exchange Act Rules Rule 13a-14(a), as adopted pursuant to Section 302 of the Sarbanes-Oxley Act of 2002, filed herewith.</w:t>
              </w:r>
            </w:hyperlink>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2q26.htm">
              <w:r>
                <w:rPr>
                  <w:rStyle w:val="InternetLink"/>
                  <w:rFonts w:ascii="Times New Roman;serif" w:hAnsi="Times New Roman;serif"/>
                  <w:b w:val="false"/>
                  <w:color w:val="0000FF"/>
                  <w:sz w:val="18"/>
                  <w:u w:val="single"/>
                </w:rPr>
                <w:t>Certification of the Chief Executive Officer pursuant to 18 U.S.C. Section 1350, filed herewith.</w:t>
              </w:r>
            </w:hyperlink>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2q26.htm">
              <w:r>
                <w:rPr>
                  <w:rStyle w:val="InternetLink"/>
                  <w:rFonts w:ascii="Times New Roman;serif" w:hAnsi="Times New Roman;serif"/>
                  <w:b w:val="false"/>
                  <w:color w:val="0000FF"/>
                  <w:sz w:val="18"/>
                  <w:u w:val="single"/>
                </w:rPr>
                <w:t>Certification of the Chief Financial Officer pursuant to 18 U.S.C. Section 1350, filed herewith.</w:t>
              </w:r>
            </w:hyperlink>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XBRL Instance Document</w:t>
            </w:r>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XBRL Taxonomy Schema</w:t>
            </w:r>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XBRL Taxonomy Definition</w:t>
            </w:r>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XBRL Taxonomy Calculation</w:t>
            </w:r>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XBRL Taxonomy Labels</w:t>
            </w:r>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XBRL Taxonomy Presentation</w:t>
            </w:r>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The financial information contained in these XBRL documents is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3b0c0f2db3148b9a91c6c035432e0a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the registrant has duly caused this report to be signed on its behalf by the undersigned, thereunto duly authorized.</w:t>
      </w:r>
    </w:p>
    <w:tbl>
      <w:tblPr>
        <w:tblW w:w="8548"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908"/>
        <w:gridCol w:w="1908"/>
        <w:gridCol w:w="272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Privia Health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Mountcastle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Mountcastle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Authorized Officer</w:t>
            </w:r>
          </w:p>
        </w:tc>
      </w:tr>
    </w:tbl>
    <w:p>
      <w:pPr>
        <w:pStyle w:val="TextBody"/>
        <w:bidi w:val="0"/>
        <w:spacing w:before="200" w:after="283"/>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Certification Pursuant to Section 302 of Sarbanes-Oxley Act of 2002</w:t>
      </w:r>
    </w:p>
    <w:p>
      <w:pPr>
        <w:pStyle w:val="TextBody"/>
        <w:bidi w:val="0"/>
        <w:spacing w:before="60" w:after="283"/>
        <w:jc w:val="center"/>
        <w:rPr/>
      </w:pPr>
      <w:r>
        <w:rPr/>
      </w:r>
    </w:p>
    <w:p>
      <w:pPr>
        <w:pStyle w:val="TextBody"/>
        <w:bidi w:val="0"/>
        <w:spacing w:lineRule="auto" w:line="288" w:before="60" w:after="283"/>
        <w:jc w:val="both"/>
        <w:rPr>
          <w:rFonts w:ascii="Times New Roman;serif" w:hAnsi="Times New Roman;serif"/>
          <w:b w:val="false"/>
          <w:color w:val="000000"/>
          <w:sz w:val="22"/>
        </w:rPr>
      </w:pPr>
      <w:r>
        <w:rPr>
          <w:rFonts w:ascii="Times New Roman;serif" w:hAnsi="Times New Roman;serif"/>
          <w:b w:val="false"/>
          <w:color w:val="000000"/>
          <w:sz w:val="22"/>
        </w:rPr>
        <w:t>I, Parth Mehrotra, certify that:</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Privia Health Group, Inc.;</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tbl>
      <w:tblPr>
        <w:tblW w:w="4543" w:type="dxa"/>
        <w:jc w:val="left"/>
        <w:tblInd w:w="0" w:type="dxa"/>
        <w:tblLayout w:type="fixed"/>
        <w:tblCellMar>
          <w:top w:w="28" w:type="dxa"/>
          <w:left w:w="28" w:type="dxa"/>
          <w:bottom w:w="28" w:type="dxa"/>
          <w:right w:w="28" w:type="dxa"/>
        </w:tblCellMar>
      </w:tblPr>
      <w:tblGrid>
        <w:gridCol w:w="222"/>
        <w:gridCol w:w="196"/>
        <w:gridCol w:w="197"/>
        <w:gridCol w:w="519"/>
        <w:gridCol w:w="519"/>
        <w:gridCol w:w="521"/>
        <w:gridCol w:w="692"/>
        <w:gridCol w:w="692"/>
        <w:gridCol w:w="985"/>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Parth Mehrotra</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Parth Mehrotra</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Certification Pursuant to Section 302 of Sarbanes-Oxley Act of 2002</w:t>
      </w:r>
    </w:p>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2"/>
        </w:rPr>
      </w:pPr>
      <w:r>
        <w:rPr>
          <w:rFonts w:ascii="Times New Roman;serif" w:hAnsi="Times New Roman;serif"/>
          <w:b w:val="false"/>
          <w:color w:val="000000"/>
          <w:sz w:val="22"/>
        </w:rPr>
        <w:t>I, David Mountcastle, certify that:</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Privia Health Group, Inc.;</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60" w:after="283"/>
        <w:jc w:val="both"/>
        <w:rPr/>
      </w:pPr>
      <w:r>
        <w:rPr/>
      </w:r>
    </w:p>
    <w:tbl>
      <w:tblPr>
        <w:tblW w:w="9164" w:type="dxa"/>
        <w:jc w:val="left"/>
        <w:tblInd w:w="0" w:type="dxa"/>
        <w:tblLayout w:type="fixed"/>
        <w:tblCellMar>
          <w:top w:w="28" w:type="dxa"/>
          <w:left w:w="28" w:type="dxa"/>
          <w:bottom w:w="28" w:type="dxa"/>
          <w:right w:w="28" w:type="dxa"/>
        </w:tblCellMar>
      </w:tblPr>
      <w:tblGrid>
        <w:gridCol w:w="222"/>
        <w:gridCol w:w="196"/>
        <w:gridCol w:w="197"/>
        <w:gridCol w:w="519"/>
        <w:gridCol w:w="519"/>
        <w:gridCol w:w="521"/>
        <w:gridCol w:w="2047"/>
        <w:gridCol w:w="2047"/>
        <w:gridCol w:w="2896"/>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Mountcastle</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Mountcastle</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the Chief Executive Officer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Rule 18 U.S.C. Section 1350</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of Privia Health Group, Inc. (the “Company”) for the period ended June 30, 2026, as filed with the U.S. Securities and Exchange Commission (the “Report”), I, Parth Mehrotra, Chief Executive Officer of the Company, hereby certify, pursuant to 18 U.S.C. Section 1350, as adopted pursuant to Section 906 of the Sarbanes-Oxley Act of 2002, that, to my knowledge:</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1.The Report fully complies with the requirements of Section 13(a) or 15(d) of the Securities Exchange Act of 1934, as amended;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left"/>
        <w:rPr/>
      </w:pPr>
      <w:r>
        <w:rPr/>
      </w:r>
    </w:p>
    <w:tbl>
      <w:tblPr>
        <w:tblW w:w="4543" w:type="dxa"/>
        <w:jc w:val="left"/>
        <w:tblInd w:w="0" w:type="dxa"/>
        <w:tblLayout w:type="fixed"/>
        <w:tblCellMar>
          <w:top w:w="28" w:type="dxa"/>
          <w:left w:w="28" w:type="dxa"/>
          <w:bottom w:w="28" w:type="dxa"/>
          <w:right w:w="28" w:type="dxa"/>
        </w:tblCellMar>
      </w:tblPr>
      <w:tblGrid>
        <w:gridCol w:w="222"/>
        <w:gridCol w:w="196"/>
        <w:gridCol w:w="197"/>
        <w:gridCol w:w="519"/>
        <w:gridCol w:w="519"/>
        <w:gridCol w:w="521"/>
        <w:gridCol w:w="692"/>
        <w:gridCol w:w="692"/>
        <w:gridCol w:w="985"/>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Parth Mehrotra</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Parth Mehrotra</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the Chief Financial Officer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Rule 18 U.S.C. Section 1350</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of Privia Health Group, Inc. (the “Company”) for the period ended June 30, 2026, as filed with the U.S. Securities and Exchange Commission (the “Report”), I, David Mountcastle, Chief Financial Officer of the Company, hereby certify, pursuant to 18 U.S.C. Section 1350, as adopted pursuant to Section 906 of the Sarbanes-Oxley Act of 2002, that, to my knowledge:</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9164" w:type="dxa"/>
        <w:jc w:val="left"/>
        <w:tblInd w:w="0" w:type="dxa"/>
        <w:tblLayout w:type="fixed"/>
        <w:tblCellMar>
          <w:top w:w="28" w:type="dxa"/>
          <w:left w:w="28" w:type="dxa"/>
          <w:bottom w:w="28" w:type="dxa"/>
          <w:right w:w="28" w:type="dxa"/>
        </w:tblCellMar>
      </w:tblPr>
      <w:tblGrid>
        <w:gridCol w:w="222"/>
        <w:gridCol w:w="196"/>
        <w:gridCol w:w="197"/>
        <w:gridCol w:w="519"/>
        <w:gridCol w:w="519"/>
        <w:gridCol w:w="521"/>
        <w:gridCol w:w="2047"/>
        <w:gridCol w:w="2047"/>
        <w:gridCol w:w="2896"/>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Mountcastle</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Mountcastle</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Authorized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20164</Words>
  <Characters>112814</Characters>
  <CharactersWithSpaces>131845</CharactersWithSpaces>
  <Paragraphs>2240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