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9177" w:type="dxa"/>
        <w:jc w:val="left"/>
        <w:tblInd w:w="0" w:type="dxa"/>
        <w:tblLayout w:type="fixed"/>
        <w:tblCellMar>
          <w:top w:w="28" w:type="dxa"/>
          <w:left w:w="28" w:type="dxa"/>
          <w:bottom w:w="28" w:type="dxa"/>
          <w:right w:w="28" w:type="dxa"/>
        </w:tblCellMar>
      </w:tblPr>
      <w:tblGrid>
        <w:gridCol w:w="915"/>
        <w:gridCol w:w="802"/>
        <w:gridCol w:w="802"/>
        <w:gridCol w:w="802"/>
        <w:gridCol w:w="802"/>
        <w:gridCol w:w="839"/>
        <w:gridCol w:w="394"/>
        <w:gridCol w:w="394"/>
        <w:gridCol w:w="398"/>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001-40365</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81-3599420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No.)</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950 N. Glebe Rd., </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700</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Arlington,</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22203</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(571) 366-8850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52"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 (b) under the Exchange Act (17 CFR 240.14d-2(b))</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PRVA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0"/>
        <w:gridCol w:w="770"/>
        <w:gridCol w:w="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Privia Health Group, Inc. (the “Company”) issued a press release announcing its financial results for the second quarter ended June 30, 2026. A copy of the press release is attached hereto as Exhibit 99.1.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Current Report on Form 8-K, including Exhibit 99.1, are “furnished” and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w:t>
      </w:r>
    </w:p>
    <w:tbl>
      <w:tblPr>
        <w:tblW w:w="992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489"/>
        <w:gridCol w:w="2489"/>
        <w:gridCol w:w="35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2q26earningrelease.htm">
              <w:r>
                <w:rPr>
                  <w:rStyle w:val="InternetLink"/>
                  <w:rFonts w:ascii="Times New Roman;serif" w:hAnsi="Times New Roman;serif"/>
                  <w:b w:val="false"/>
                  <w:color w:val="0000FF"/>
                  <w:sz w:val="20"/>
                  <w:u w:val="single"/>
                </w:rPr>
                <w:t>Privia Health Group, Inc. Press Release Dated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998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25"/>
        <w:gridCol w:w="425"/>
        <w:gridCol w:w="425"/>
        <w:gridCol w:w="1894"/>
        <w:gridCol w:w="1894"/>
        <w:gridCol w:w="27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PRIVIA HEALTH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Mountcastle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Mountcastle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92" w:type="dxa"/>
        <w:jc w:val="right"/>
        <w:tblInd w:w="0" w:type="dxa"/>
        <w:tblLayout w:type="fixed"/>
        <w:tblCellMar>
          <w:top w:w="28" w:type="dxa"/>
          <w:left w:w="28" w:type="dxa"/>
          <w:bottom w:w="28" w:type="dxa"/>
          <w:right w:w="28" w:type="dxa"/>
        </w:tblCellMar>
      </w:tblPr>
      <w:tblGrid>
        <w:gridCol w:w="1260"/>
        <w:gridCol w:w="1107"/>
        <w:gridCol w:w="1109"/>
        <w:gridCol w:w="109"/>
        <w:gridCol w:w="109"/>
        <w:gridCol w:w="109"/>
        <w:gridCol w:w="109"/>
        <w:gridCol w:w="109"/>
        <w:gridCol w:w="109"/>
        <w:gridCol w:w="109"/>
        <w:gridCol w:w="109"/>
        <w:gridCol w:w="109"/>
        <w:gridCol w:w="390"/>
        <w:gridCol w:w="390"/>
        <w:gridCol w:w="555"/>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47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431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43125"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Privia Health Reports Strong Second Quarter and Year-to-Date 2026 Results</w:t>
      </w:r>
    </w:p>
    <w:p>
      <w:pPr>
        <w:pStyle w:val="TextBody"/>
        <w:bidi w:val="0"/>
        <w:spacing w:before="0" w:after="0"/>
        <w:jc w:val="center"/>
        <w:rPr/>
      </w:pPr>
      <w:r>
        <w:rPr/>
      </w:r>
    </w:p>
    <w:p>
      <w:pPr>
        <w:pStyle w:val="TextBody"/>
        <w:bidi w:val="0"/>
        <w:spacing w:lineRule="auto" w:line="268" w:before="0" w:after="60"/>
        <w:ind w:left="0" w:right="0" w:hanging="360"/>
        <w:jc w:val="left"/>
        <w:rPr/>
      </w:pPr>
      <w:r>
        <w:rPr>
          <w:color w:val="000000"/>
        </w:rPr>
        <w:t>–</w:t>
      </w:r>
      <w:r>
        <w:rPr>
          <w:rFonts w:ascii="Times New Roman;serif" w:hAnsi="Times New Roman;serif"/>
          <w:b w:val="false"/>
          <w:i/>
          <w:color w:val="000000"/>
          <w:sz w:val="24"/>
        </w:rPr>
        <w:t>2Q’26 Net Income of $9.0M, +236.7% from 2Q’25</w:t>
      </w:r>
    </w:p>
    <w:p>
      <w:pPr>
        <w:pStyle w:val="TextBody"/>
        <w:bidi w:val="0"/>
        <w:spacing w:lineRule="auto" w:line="268" w:before="0" w:after="60"/>
        <w:ind w:left="0" w:right="0" w:hanging="360"/>
        <w:jc w:val="left"/>
        <w:rPr/>
      </w:pPr>
      <w:r>
        <w:rPr>
          <w:color w:val="000000"/>
        </w:rPr>
        <w:t>–</w:t>
      </w:r>
      <w:r>
        <w:rPr>
          <w:rFonts w:ascii="Times New Roman;serif" w:hAnsi="Times New Roman;serif"/>
          <w:b w:val="false"/>
          <w:i/>
          <w:color w:val="000000"/>
          <w:sz w:val="24"/>
        </w:rPr>
        <w:t>2Q’26 Adjusted EBITDA of $37.4M, +29.1% from 2Q’25</w:t>
      </w:r>
    </w:p>
    <w:p>
      <w:pPr>
        <w:pStyle w:val="TextBody"/>
        <w:bidi w:val="0"/>
        <w:spacing w:lineRule="auto" w:line="268" w:before="0" w:after="60"/>
        <w:ind w:left="0" w:right="0" w:hanging="360"/>
        <w:jc w:val="left"/>
        <w:rPr/>
      </w:pPr>
      <w:r>
        <w:rPr>
          <w:color w:val="000000"/>
        </w:rPr>
        <w:t>–</w:t>
      </w:r>
      <w:r>
        <w:rPr>
          <w:rFonts w:ascii="Times New Roman;serif" w:hAnsi="Times New Roman;serif"/>
          <w:b w:val="false"/>
          <w:i/>
          <w:color w:val="000000"/>
          <w:sz w:val="24"/>
        </w:rPr>
        <w:t xml:space="preserve">Full-Year 2026 Guidance Raised for All Key Financial Metrics </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color w:val="000000"/>
          <w:sz w:val="22"/>
        </w:rPr>
        <w:t>ARLINGTON, VA – August 6, 2026</w:t>
      </w:r>
      <w:r>
        <w:rPr>
          <w:color w:val="000000"/>
        </w:rPr>
        <w:t xml:space="preserve"> – </w:t>
      </w:r>
      <w:r>
        <w:rPr>
          <w:rFonts w:ascii="Times New Roman;serif" w:hAnsi="Times New Roman;serif"/>
          <w:b w:val="false"/>
          <w:color w:val="000000"/>
          <w:sz w:val="22"/>
        </w:rPr>
        <w:t>Privia Health Group, Inc. (Nasdaq: PRVA) today announced financial results for the second quarter and six-month periods ended June 30, 2026.</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Second Quarter Performance</w:t>
      </w:r>
    </w:p>
    <w:tbl>
      <w:tblPr>
        <w:tblW w:w="10205" w:type="dxa"/>
        <w:jc w:val="left"/>
        <w:tblInd w:w="0" w:type="dxa"/>
        <w:tblLayout w:type="fixed"/>
        <w:tblCellMar>
          <w:top w:w="28" w:type="dxa"/>
          <w:left w:w="28" w:type="dxa"/>
          <w:bottom w:w="28" w:type="dxa"/>
          <w:right w:w="28" w:type="dxa"/>
        </w:tblCellMar>
      </w:tblPr>
      <w:tblGrid>
        <w:gridCol w:w="1544"/>
        <w:gridCol w:w="1223"/>
        <w:gridCol w:w="1228"/>
        <w:gridCol w:w="149"/>
        <w:gridCol w:w="149"/>
        <w:gridCol w:w="149"/>
        <w:gridCol w:w="326"/>
        <w:gridCol w:w="1019"/>
        <w:gridCol w:w="156"/>
        <w:gridCol w:w="156"/>
        <w:gridCol w:w="156"/>
        <w:gridCol w:w="156"/>
        <w:gridCol w:w="326"/>
        <w:gridCol w:w="1019"/>
        <w:gridCol w:w="156"/>
        <w:gridCol w:w="149"/>
        <w:gridCol w:w="149"/>
        <w:gridCol w:w="149"/>
        <w:gridCol w:w="485"/>
        <w:gridCol w:w="485"/>
        <w:gridCol w:w="876"/>
      </w:tblGrid>
      <w:tr>
        <w:trPr/>
        <w:tc>
          <w:tcPr>
            <w:tcW w:w="154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(unaudited; $ in millions, except per share amounts)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Change (%)</w:t>
            </w:r>
            <w:r>
              <w:rPr>
                <w:rFonts w:ascii="Times New Roman;serif" w:hAnsi="Times New Roman;serif"/>
                <w:b/>
                <w:color w:val="000000"/>
                <w:sz w:val="13"/>
              </w:rPr>
              <w:t>*</w:t>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632.6 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521.2 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21.4 </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Gross profit </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252.9 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Net income </w:t>
            </w:r>
            <w:r>
              <w:rPr>
                <w:rFonts w:ascii="Times New Roman;serif" w:hAnsi="Times New Roman;serif"/>
                <w:b w:val="false"/>
                <w:color w:val="000000"/>
                <w:sz w:val="14"/>
              </w:rPr>
              <w:t>a</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236.7 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Non-GAAP adjusted net income </w:t>
            </w:r>
            <w:r>
              <w:rPr>
                <w:rFonts w:ascii="Times New Roman;serif" w:hAnsi="Times New Roman;serif"/>
                <w:b w:val="false"/>
                <w:color w:val="000000"/>
                <w:sz w:val="14"/>
              </w:rPr>
              <w:t>b</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per share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250.0 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Non-GAAP adjusted net income per share </w:t>
            </w:r>
            <w:r>
              <w:rPr>
                <w:rFonts w:ascii="Times New Roman;serif" w:hAnsi="Times New Roman;serif"/>
                <w:b w:val="false"/>
                <w:color w:val="000000"/>
                <w:sz w:val="14"/>
              </w:rPr>
              <w:t>b</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*Any slight variations in totals are due to rounding.</w:t>
            </w:r>
          </w:p>
          <w:p>
            <w:pPr>
              <w:pStyle w:val="TableContents"/>
              <w:bidi w:val="0"/>
              <w:spacing w:lineRule="auto" w:line="240"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a.Net income for the three months ended June 30, 2026, included $19.4 million in non-cash stock compensation expense. Net income for the three months ended June 30, 2025 included $18.8 million in non-cash stock compensation expense. </w:t>
            </w:r>
          </w:p>
          <w:p>
            <w:pPr>
              <w:pStyle w:val="TableContents"/>
              <w:bidi w:val="0"/>
              <w:spacing w:lineRule="auto" w:line="240"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b.Reconciliations of non-GAAP adjusted net income and other non-GAAP financial measures are presented in tables near the end of this press release.</w:t>
            </w:r>
          </w:p>
        </w:tc>
      </w:tr>
    </w:tbl>
    <w:p>
      <w:pPr>
        <w:pStyle w:val="TextBody"/>
        <w:bidi w:val="0"/>
        <w:spacing w:lineRule="auto" w:line="288" w:before="120" w:after="120"/>
        <w:jc w:val="both"/>
        <w:rPr/>
      </w:pPr>
      <w:r>
        <w:rPr>
          <w:rFonts w:ascii="Times New Roman;serif" w:hAnsi="Times New Roman;serif"/>
          <w:b w:val="false"/>
          <w:i/>
          <w:color w:val="000000"/>
          <w:sz w:val="22"/>
        </w:rPr>
        <w:t xml:space="preserve">Key Operating and Non-GAAP Financial Metrics </w:t>
      </w:r>
      <w:r>
        <w:rPr>
          <w:rFonts w:ascii="Times New Roman;serif" w:hAnsi="Times New Roman;serif"/>
          <w:b w:val="false"/>
          <w:i/>
          <w:color w:val="000000"/>
          <w:sz w:val="14"/>
        </w:rPr>
        <w:t>c</w:t>
      </w:r>
    </w:p>
    <w:tbl>
      <w:tblPr>
        <w:tblW w:w="10205" w:type="dxa"/>
        <w:jc w:val="left"/>
        <w:tblInd w:w="0" w:type="dxa"/>
        <w:tblLayout w:type="fixed"/>
        <w:tblCellMar>
          <w:top w:w="28" w:type="dxa"/>
          <w:left w:w="28" w:type="dxa"/>
          <w:bottom w:w="28" w:type="dxa"/>
          <w:right w:w="28" w:type="dxa"/>
        </w:tblCellMar>
      </w:tblPr>
      <w:tblGrid>
        <w:gridCol w:w="1471"/>
        <w:gridCol w:w="1198"/>
        <w:gridCol w:w="1189"/>
        <w:gridCol w:w="146"/>
        <w:gridCol w:w="146"/>
        <w:gridCol w:w="146"/>
        <w:gridCol w:w="367"/>
        <w:gridCol w:w="1149"/>
        <w:gridCol w:w="155"/>
        <w:gridCol w:w="155"/>
        <w:gridCol w:w="155"/>
        <w:gridCol w:w="155"/>
        <w:gridCol w:w="367"/>
        <w:gridCol w:w="1149"/>
        <w:gridCol w:w="155"/>
        <w:gridCol w:w="146"/>
        <w:gridCol w:w="146"/>
        <w:gridCol w:w="146"/>
        <w:gridCol w:w="394"/>
        <w:gridCol w:w="394"/>
        <w:gridCol w:w="876"/>
      </w:tblGrid>
      <w:tr>
        <w:trPr/>
        <w:tc>
          <w:tcPr>
            <w:tcW w:w="147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(unaudited; $ in millions)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Implemented Providers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Value-Based Care Attributed Lives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1,647,000 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1,382,000 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Practice Collections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Care Margin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Platform Contribution</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29.1 </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c.Reconciliations of Care Margin, Platform Contribution, Adjusted EBITDA and other non-GAAP financial measures are presented in tables near the end of this press release.</w:t>
            </w:r>
          </w:p>
        </w:tc>
      </w:tr>
    </w:tbl>
    <w:p>
      <w:pPr>
        <w:pStyle w:val="TextBody"/>
        <w:bidi w:val="0"/>
        <w:spacing w:before="0" w:after="0"/>
        <w:ind w:left="0" w:right="0" w:hanging="360"/>
        <w:jc w:val="both"/>
        <w:rPr/>
      </w:pPr>
      <w:r>
        <w:rPr/>
      </w:r>
    </w:p>
    <w:p>
      <w:pPr>
        <w:pStyle w:val="TextBody"/>
        <w:bidi w:val="0"/>
        <w:spacing w:before="0" w:after="1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Six-Month Performance</w:t>
      </w:r>
    </w:p>
    <w:tbl>
      <w:tblPr>
        <w:tblW w:w="10205" w:type="dxa"/>
        <w:jc w:val="left"/>
        <w:tblInd w:w="0" w:type="dxa"/>
        <w:tblLayout w:type="fixed"/>
        <w:tblCellMar>
          <w:top w:w="28" w:type="dxa"/>
          <w:left w:w="28" w:type="dxa"/>
          <w:bottom w:w="28" w:type="dxa"/>
          <w:right w:w="28" w:type="dxa"/>
        </w:tblCellMar>
      </w:tblPr>
      <w:tblGrid>
        <w:gridCol w:w="1574"/>
        <w:gridCol w:w="1129"/>
        <w:gridCol w:w="1138"/>
        <w:gridCol w:w="142"/>
        <w:gridCol w:w="142"/>
        <w:gridCol w:w="142"/>
        <w:gridCol w:w="310"/>
        <w:gridCol w:w="1219"/>
        <w:gridCol w:w="149"/>
        <w:gridCol w:w="149"/>
        <w:gridCol w:w="149"/>
        <w:gridCol w:w="149"/>
        <w:gridCol w:w="310"/>
        <w:gridCol w:w="1219"/>
        <w:gridCol w:w="149"/>
        <w:gridCol w:w="142"/>
        <w:gridCol w:w="142"/>
        <w:gridCol w:w="142"/>
        <w:gridCol w:w="461"/>
        <w:gridCol w:w="461"/>
        <w:gridCol w:w="787"/>
      </w:tblGrid>
      <w:tr>
        <w:trPr/>
        <w:tc>
          <w:tcPr>
            <w:tcW w:w="157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millions, except per share amounts)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1,236.5 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1,001.3 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23.5 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Gross profit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17.6 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124.4 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Net income </w:t>
            </w:r>
            <w:r>
              <w:rPr>
                <w:rFonts w:ascii="Times New Roman;serif" w:hAnsi="Times New Roman;serif"/>
                <w:b w:val="false"/>
                <w:color w:val="000000"/>
                <w:sz w:val="14"/>
              </w:rPr>
              <w:t>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75.4 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Non-GAAP adjusted net income </w:t>
            </w:r>
            <w:r>
              <w:rPr>
                <w:rFonts w:ascii="Times New Roman;serif" w:hAnsi="Times New Roman;serif"/>
                <w:b w:val="false"/>
                <w:color w:val="000000"/>
                <w:sz w:val="14"/>
              </w:rPr>
              <w:t>b d 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20.4 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per share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80.0 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Non-GAAP adjusted net income per share </w:t>
            </w:r>
            <w:r>
              <w:rPr>
                <w:rFonts w:ascii="Times New Roman;serif" w:hAnsi="Times New Roman;serif"/>
                <w:b w:val="false"/>
                <w:color w:val="000000"/>
                <w:sz w:val="14"/>
              </w:rPr>
              <w:t>b d 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18.8 </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a.Net income for the six months ended June 30, 2026 included $41.3 million in non-cash stock compensation expense. Net income for the six months ended June 30, 2025 included $36.6 million in non-cash stock compensation expense. </w:t>
            </w:r>
          </w:p>
          <w:p>
            <w:pPr>
              <w:pStyle w:val="TableContents"/>
              <w:bidi w:val="0"/>
              <w:spacing w:lineRule="auto" w:line="240"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b.Reconciliations of non-GAAP adjusted net income and other non-GAAP financial measures are presented in tables near the end of this press release.</w:t>
            </w:r>
          </w:p>
        </w:tc>
      </w:tr>
    </w:tbl>
    <w:p>
      <w:pPr>
        <w:pStyle w:val="TextBody"/>
        <w:bidi w:val="0"/>
        <w:spacing w:lineRule="auto" w:line="288" w:before="120" w:after="120"/>
        <w:jc w:val="both"/>
        <w:rPr/>
      </w:pPr>
      <w:r>
        <w:rPr>
          <w:rFonts w:ascii="Times New Roman;serif" w:hAnsi="Times New Roman;serif"/>
          <w:b w:val="false"/>
          <w:i/>
          <w:color w:val="000000"/>
          <w:sz w:val="22"/>
        </w:rPr>
        <w:t xml:space="preserve">Key Operating and Non-GAAP Financial Metrics </w:t>
      </w:r>
      <w:r>
        <w:rPr>
          <w:rFonts w:ascii="Times New Roman;serif" w:hAnsi="Times New Roman;serif"/>
          <w:b w:val="false"/>
          <w:i/>
          <w:color w:val="000000"/>
          <w:sz w:val="14"/>
        </w:rPr>
        <w:t>b d e</w:t>
      </w:r>
    </w:p>
    <w:tbl>
      <w:tblPr>
        <w:tblW w:w="7390" w:type="dxa"/>
        <w:jc w:val="left"/>
        <w:tblInd w:w="0" w:type="dxa"/>
        <w:tblLayout w:type="fixed"/>
        <w:tblCellMar>
          <w:top w:w="28" w:type="dxa"/>
          <w:left w:w="28" w:type="dxa"/>
          <w:bottom w:w="28" w:type="dxa"/>
          <w:right w:w="28" w:type="dxa"/>
        </w:tblCellMar>
      </w:tblPr>
      <w:tblGrid>
        <w:gridCol w:w="874"/>
        <w:gridCol w:w="767"/>
        <w:gridCol w:w="773"/>
        <w:gridCol w:w="109"/>
        <w:gridCol w:w="109"/>
        <w:gridCol w:w="109"/>
        <w:gridCol w:w="248"/>
        <w:gridCol w:w="974"/>
        <w:gridCol w:w="119"/>
        <w:gridCol w:w="119"/>
        <w:gridCol w:w="119"/>
        <w:gridCol w:w="119"/>
        <w:gridCol w:w="248"/>
        <w:gridCol w:w="974"/>
        <w:gridCol w:w="119"/>
        <w:gridCol w:w="109"/>
        <w:gridCol w:w="109"/>
        <w:gridCol w:w="109"/>
        <w:gridCol w:w="293"/>
        <w:gridCol w:w="293"/>
        <w:gridCol w:w="697"/>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Practice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1,884.8 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13.4 </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Care Margin </w:t>
            </w:r>
            <w:r>
              <w:rPr>
                <w:rFonts w:ascii="Times New Roman;serif" w:hAnsi="Times New Roman;serif"/>
                <w:b w:val="false"/>
                <w:color w:val="000000"/>
                <w:sz w:val="14"/>
              </w:rPr>
              <w:t>b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18.3 </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Platform Contribution </w:t>
            </w:r>
            <w:r>
              <w:rPr>
                <w:rFonts w:ascii="Times New Roman;serif" w:hAnsi="Times New Roman;serif"/>
                <w:b w:val="false"/>
                <w:color w:val="000000"/>
                <w:sz w:val="14"/>
              </w:rPr>
              <w:t>b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24.6 </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Adjusted EBITDA </w:t>
            </w:r>
            <w:r>
              <w:rPr>
                <w:rFonts w:ascii="Times New Roman;serif" w:hAnsi="Times New Roman;serif"/>
                <w:b w:val="false"/>
                <w:color w:val="000000"/>
                <w:sz w:val="14"/>
              </w:rPr>
              <w:t>b d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32.6 </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color w:val="000000"/>
          <w:sz w:val="22"/>
        </w:rPr>
        <w:t xml:space="preserve">Updated Full-Year 2026 Guidance </w:t>
      </w:r>
      <w:r>
        <w:rPr>
          <w:rFonts w:ascii="Times New Roman;serif" w:hAnsi="Times New Roman;serif"/>
          <w:b w:val="false"/>
          <w:color w:val="000000"/>
          <w:sz w:val="14"/>
        </w:rPr>
        <w:t>d e f g</w:t>
      </w:r>
    </w:p>
    <w:tbl>
      <w:tblPr>
        <w:tblW w:w="10205" w:type="dxa"/>
        <w:jc w:val="left"/>
        <w:tblInd w:w="0" w:type="dxa"/>
        <w:tblLayout w:type="fixed"/>
        <w:tblCellMar>
          <w:top w:w="28" w:type="dxa"/>
          <w:left w:w="28" w:type="dxa"/>
          <w:bottom w:w="28" w:type="dxa"/>
          <w:right w:w="28" w:type="dxa"/>
        </w:tblCellMar>
      </w:tblPr>
      <w:tblGrid>
        <w:gridCol w:w="811"/>
        <w:gridCol w:w="711"/>
        <w:gridCol w:w="717"/>
        <w:gridCol w:w="211"/>
        <w:gridCol w:w="766"/>
        <w:gridCol w:w="109"/>
        <w:gridCol w:w="109"/>
        <w:gridCol w:w="109"/>
        <w:gridCol w:w="109"/>
        <w:gridCol w:w="296"/>
        <w:gridCol w:w="867"/>
        <w:gridCol w:w="153"/>
        <w:gridCol w:w="153"/>
        <w:gridCol w:w="153"/>
        <w:gridCol w:w="153"/>
        <w:gridCol w:w="296"/>
        <w:gridCol w:w="867"/>
        <w:gridCol w:w="153"/>
        <w:gridCol w:w="109"/>
        <w:gridCol w:w="109"/>
        <w:gridCol w:w="109"/>
        <w:gridCol w:w="967"/>
        <w:gridCol w:w="949"/>
        <w:gridCol w:w="951"/>
        <w:gridCol w:w="109"/>
        <w:gridCol w:w="159"/>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Initial FY 2026 Guidance at 2.27.26</w:t>
            </w:r>
            <w:r>
              <w:rPr>
                <w:color w:val="000000"/>
              </w:rPr>
              <w:t xml:space="preserve"> </w:t>
            </w:r>
            <w:r>
              <w:rPr>
                <w:rFonts w:ascii="Times New Roman;serif" w:hAnsi="Times New Roman;serif"/>
                <w:b/>
                <w:color w:val="000000"/>
                <w:sz w:val="13"/>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FY 2026 Guidance at 8.6.26</w:t>
            </w:r>
          </w:p>
        </w:tc>
        <w:tc>
          <w:tcPr>
            <w:tcW w:w="268" w:type="dxa"/>
            <w:gridSpan w:val="2"/>
            <w:tcBorders/>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Implemented Providers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Attributed Lives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1,550,000</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1,625,000 - 1,650,000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Practice Collections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GAAP 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Care Margin </w:t>
            </w:r>
            <w:r>
              <w:rPr>
                <w:rFonts w:ascii="Times New Roman;serif" w:hAnsi="Times New Roman;serif"/>
                <w:b w:val="false"/>
                <w:color w:val="000000"/>
                <w:sz w:val="14"/>
              </w:rPr>
              <w:t>d e 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 to High End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Platform Contribution </w:t>
            </w:r>
            <w:r>
              <w:rPr>
                <w:rFonts w:ascii="Times New Roman;serif" w:hAnsi="Times New Roman;serif"/>
                <w:b w:val="false"/>
                <w:color w:val="000000"/>
                <w:sz w:val="14"/>
              </w:rPr>
              <w:t>d 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 to High End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Adjusted EBITDA</w:t>
            </w:r>
            <w:r>
              <w:rPr>
                <w:color w:val="000000"/>
              </w:rPr>
              <w:t xml:space="preserve"> </w:t>
            </w:r>
            <w:r>
              <w:rPr>
                <w:rFonts w:ascii="Times New Roman;serif" w:hAnsi="Times New Roman;serif"/>
                <w:b w:val="false"/>
                <w:color w:val="000000"/>
                <w:sz w:val="13"/>
              </w:rPr>
              <w:t>d e 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 to High End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360"/>
        <w:jc w:val="both"/>
        <w:rPr/>
      </w:pPr>
      <w:r>
        <w:rPr>
          <w:color w:val="000000"/>
        </w:rPr>
        <w:t>•</w:t>
      </w:r>
      <w:r>
        <w:rPr>
          <w:rFonts w:ascii="Times New Roman;serif" w:hAnsi="Times New Roman;serif"/>
          <w:b w:val="false"/>
          <w:color w:val="000000"/>
          <w:sz w:val="22"/>
        </w:rPr>
        <w:t>Expect approximately 70-80% of Adjusted EBITDA to convert to free cash flow in full-year 2026 subject to timing of MSSP cash settlement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2"/>
        </w:rPr>
        <w:t xml:space="preserve">Guidance does not assume any new business development activity </w:t>
      </w:r>
    </w:p>
    <w:p>
      <w:pPr>
        <w:pStyle w:val="TextBody"/>
        <w:bidi w:val="0"/>
        <w:spacing w:before="0" w:after="0"/>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d.Management has not reconciled forward-looking non-GAAP measures to their most directly comparable GAAP measures of Gross Profit, Operating Income and Net Income. This is because the Company cannot predict with reasonable certainty and without unreasonable efforts the ultimate outcome of certain GAAP components of such reconciliations due to market-related assumptions that are not within our control as well as certain legal or advisory costs, tax costs or other costs that may arise. For these reasons,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management is unable to assess the probable significance of the unavailable information, which could materially impact the amount of the future directly comparable GAAP measures.</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e.See “Key Metrics and Non-GAAP Financial Measures” for more information as to how the Company defines and calculates Implemented Providers, Attributed Lives, Practice Collections, Care Margin, Platform Contribution, and Adjusted EBITDA, and for a reconciliation of the most comparable GAAP measures to Care Margin, Platform Contribution, Adjusted EBITDA, Adjusted Net Income and Adjusted Net Income Per Share. </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f.Certain non-recurring or non-cash and other expenses will be treated as an add back in the reconciliation of Net Income to Adjusted EBITDA, and the reconciliation of Net Income to Adjusted Net Income and Adjusted Net Income Per Share, the details of which can be found in the Reconciliation schedules near the end of this and in future quarterly press releases.</w:t>
      </w:r>
    </w:p>
    <w:p>
      <w:pPr>
        <w:pStyle w:val="TextBody"/>
        <w:bidi w:val="0"/>
        <w:spacing w:lineRule="auto" w:line="288" w:before="0" w:after="24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g.Any slight variations in totals due to rounding.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Webcast and Conference Call Information</w:t>
      </w:r>
    </w:p>
    <w:p>
      <w:pPr>
        <w:pStyle w:val="TextBody"/>
        <w:bidi w:val="0"/>
        <w:spacing w:lineRule="auto" w:line="276" w:before="0" w:after="0"/>
        <w:jc w:val="both"/>
        <w:rPr/>
      </w:pPr>
      <w:r>
        <w:rPr>
          <w:rFonts w:ascii="Times New Roman;serif" w:hAnsi="Times New Roman;serif"/>
          <w:b w:val="false"/>
          <w:color w:val="000000"/>
          <w:sz w:val="22"/>
        </w:rPr>
        <w:t xml:space="preserve">The Company will host a conference call on August 6, 2026, at 8:00 am ET to discuss these results and management’s outlook for future financial and operational performance. You can visit </w:t>
      </w:r>
      <w:r>
        <w:rPr>
          <w:rFonts w:ascii="Times New Roman;serif" w:hAnsi="Times New Roman;serif"/>
          <w:b w:val="false"/>
          <w:color w:val="3051F2"/>
          <w:sz w:val="22"/>
        </w:rPr>
        <w:t>ir.priviahealth.com/news-and-events/events-and-presentations</w:t>
      </w:r>
      <w:r>
        <w:rPr>
          <w:color w:val="000000"/>
        </w:rPr>
        <w:t xml:space="preserve"> </w:t>
      </w:r>
      <w:r>
        <w:rPr>
          <w:rFonts w:ascii="Times New Roman;serif" w:hAnsi="Times New Roman;serif"/>
          <w:b w:val="false"/>
          <w:color w:val="000000"/>
          <w:sz w:val="22"/>
        </w:rPr>
        <w:t xml:space="preserve">to listen to the call via live webcast. The webcast will be archived and available for replay for on-demand listening shortly after the completion of the call under the same link. Go to https://register-conf.media-server.com/register/BI4c0355cb60f4473db6a27e261c9996e2 in order to pre-register and obtain your dial-in number and passcode to join the live conference call. </w:t>
      </w:r>
    </w:p>
    <w:p>
      <w:pPr>
        <w:pStyle w:val="TextBody"/>
        <w:bidi w:val="0"/>
        <w:spacing w:lineRule="auto" w:line="288" w:before="120" w:after="283"/>
        <w:jc w:val="both"/>
        <w:rPr/>
      </w:pPr>
      <w:r>
        <w:rPr>
          <w:rFonts w:ascii="Times New Roman;serif" w:hAnsi="Times New Roman;serif"/>
          <w:b w:val="false"/>
          <w:color w:val="000000"/>
          <w:sz w:val="22"/>
        </w:rPr>
        <w:t xml:space="preserve">This news release and the financial statements contained herein, and the slide presentation for the webcast, are also available on the Privia Health Investor Relations website at </w:t>
      </w:r>
      <w:r>
        <w:rPr>
          <w:rFonts w:ascii="Times New Roman;serif" w:hAnsi="Times New Roman;serif"/>
          <w:b w:val="false"/>
          <w:color w:val="0000FF"/>
          <w:sz w:val="22"/>
        </w:rPr>
        <w:t>ir.priviahealth.com</w:t>
      </w:r>
      <w:r>
        <w:rPr>
          <w:rFonts w:ascii="Times New Roman;serif" w:hAnsi="Times New Roman;serif"/>
          <w:b w:val="false"/>
          <w:color w:val="000000"/>
          <w:sz w:val="22"/>
        </w:rPr>
        <w:t>.</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About Privia Health</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Privia Health™ is one of the largest physician enablement companies in the United States with a presence in 25 states and the District of Columbia. Privia builds scaled provider networks with primary-care centric medical groups, risk-bearing entities, a physician-led governance structure, and the Privia Platform comprising an extensive suite of technology and service solutions. Privia collaborates with medical groups, health plans and health systems to optimize 1,300+ physician practices, improve the patient experience for 6.1+ million patients, and reward 5,600+ physicians and advanced practitioners for delivering high-value care.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Privia’s mission is to transform healthcare delivery to achieve better outcomes, lower costs, and improve the health of communities and the well-being of providers. For more information, visit priviahealth.com.</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reports and discusses its operating results using financial measures consistent with accounting principles generally accepted in the United States ("GAAP"). From time to time, in press releases, financial presentations, earnings conference calls or otherwise, the Company may disclose certain non-GAAP financial measures. The non-GAAP financial measures presented in this press release should not be viewed as alternatives or substitutes for the Company's reported GAAP results. A reconciliation to the most directly comparable GAAP financial measure is set forth in the tables that accompany this release.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believes that the non-GAAP financial measures presented in this press release are relevant and provide useful information to the Company's management, investors, and other interested parties about the Company's operating performance because the measures allow them to understand and compare the Company's actual and expected operating results during the prior, current and future periods in a more consistent manner. The non-GAAP measures presented in this press release may not be comparable to similarly titled measures used by other companies. These non-GAAP financial measures are used in addition to and in conjunction with results presented in accordance with GAAP and reflect an additional way of viewing aspects of the Company's operations that, when viewed with GAAP results and the accompanying reconciliations to corresponding GAAP financial measures, provides a more complete understanding of the results of operations and trends affecting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Company's business. These non-GAAP financial measures should be considered as a supplement to, and not as a substitute for, or superior to financial measures calculated in accordance with GAAP.</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results in this press release reflect preliminary, unaudited results, which are not final until the Company’s Form 10-Q is filed with the Securities and Exchange Commission (“SEC”). This press release contains "forward-looking statements" within the meaning of the U.S. Private Securities Litigation Reform Act of 1995. Such statements relate to our current expectations, projections and assumptions about our business, the economy and future events or conditions. They do not relate strictly to historical or current facts. Forward-looking statements can be identified by words such as “aims,” “anticipates,” "assumes," “believes,” “estimates,” “expects,” “forecasts,” “future,” “intends,” “likely,” “may,” “outlook,” “plans,” “potential,” “projects,” “seeks,” “strategy,” “targets,” “trends,” “will,” “would,” “could,” “should,” and variations of such terms and similar expressions and references to guidance, although some forward-looking statements may be expressed differently. In particular, these include statements relating to, among other things, our future actions, business plans, objectives and prospects; and our future operating or financial performance and projections, including our full year guidance for 2026. Factors or events that could cause actual results to differ may emerge from time to time and are difficult to predict. Should known or unknown risks or uncertainties materialize, or should underlying assumptions prove inaccurate, actual results may differ materially from past results and those anticipated, estimated or projected. We caution you not to place undue reliance upon any of these forward-looking statements. </w:t>
      </w:r>
    </w:p>
    <w:p>
      <w:pPr>
        <w:pStyle w:val="TextBody"/>
        <w:bidi w:val="0"/>
        <w:spacing w:lineRule="auto" w:line="268" w:before="120" w:after="283"/>
        <w:jc w:val="both"/>
        <w:rPr>
          <w:rFonts w:ascii="Times New Roman;serif" w:hAnsi="Times New Roman;serif"/>
          <w:b w:val="false"/>
          <w:color w:val="000000"/>
          <w:sz w:val="22"/>
        </w:rPr>
      </w:pPr>
      <w:r>
        <w:rPr>
          <w:rFonts w:ascii="Times New Roman;serif" w:hAnsi="Times New Roman;serif"/>
          <w:b w:val="false"/>
          <w:color w:val="000000"/>
          <w:sz w:val="22"/>
        </w:rPr>
        <w:t>Factors related to these risks and uncertainties include, but are not limited to: the heavily regulated industry in which we operate, and any failure by us or our medical groups to comply with the extensive applicable healthcare laws and government regulations; the complexity of the legal framework governing our relationships with Medical Groups, some of which we do not own, and Privia providers, and the impact of legal challenges or shifting interpretations of applicable laws; the execution of our growth strategy, which may not prove viable and we may not realize expected results; difficulties timely implementing our proprietary end-to-end, cloud-based technology solution for Privia physicians and new medical groups; the high level of competition in our industry; challenges in successfully establishing a presence in new geographic markets; the impact of failures by or service disruptions at key third-party vendors, such as our primary electronic medical record vendor, athenahealth, Inc.; potential decreases in reimbursement rates by governmental and third-party payers, changes to payment terms or challenges negotiating and retaining favorable contracts with private third-party payers, and changes impacting our patient population; the financial and operational impact of our compliance with various complex and changing federal and state privacy and security laws and regulations related to our use, disclosure, and other processing of personal information and protected health information, including the Health Insurance Portability and Accountability Act of 1996; the impact of actual and potential security threats, cybersecurity incidents or privacy or other forms of data breaches involving us, our vendors or other third parties; the continued availability of qualified workforce, including staff at our medical groups, and the continued upward pressure on compensation for such workforce; and other risk factors described in our Annual Report on Form 10-K for the year ended December 31, 2025 and the Company’s subsequent Quarterly Reports on Form 10-Q. All information in this press release is as of the date of the release, and the Company undertakes no duty to update this information unless required by law.</w:t>
      </w:r>
    </w:p>
    <w:p>
      <w:pPr>
        <w:pStyle w:val="TextBody"/>
        <w:bidi w:val="0"/>
        <w:spacing w:before="120" w:after="283"/>
        <w:jc w:val="both"/>
        <w:rPr/>
      </w:pPr>
      <w:r>
        <w:rPr/>
      </w:r>
    </w:p>
    <w:tbl>
      <w:tblPr>
        <w:tblW w:w="4334" w:type="dxa"/>
        <w:jc w:val="left"/>
        <w:tblInd w:w="0" w:type="dxa"/>
        <w:tblLayout w:type="fixed"/>
        <w:tblCellMar>
          <w:top w:w="28" w:type="dxa"/>
          <w:left w:w="28" w:type="dxa"/>
          <w:bottom w:w="28" w:type="dxa"/>
          <w:right w:w="28" w:type="dxa"/>
        </w:tblCellMar>
      </w:tblPr>
      <w:tblGrid>
        <w:gridCol w:w="1451"/>
        <w:gridCol w:w="1207"/>
        <w:gridCol w:w="1676"/>
      </w:tblGrid>
      <w:tr>
        <w:trPr/>
        <w:tc>
          <w:tcPr>
            <w:tcW w:w="14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Contact:</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Borchert</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SVP, Investor &amp; Corporate Communications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IR@priviahealth.com</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817.783.4841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Privia Health Group, Inc. </w:t>
      </w:r>
    </w:p>
    <w:p>
      <w:pPr>
        <w:pStyle w:val="TextBody"/>
        <w:bidi w:val="0"/>
        <w:spacing w:lineRule="auto" w:line="288" w:before="0" w:after="0"/>
        <w:jc w:val="center"/>
        <w:rPr/>
      </w:pPr>
      <w:r>
        <w:rPr>
          <w:rFonts w:ascii="Times New Roman;serif" w:hAnsi="Times New Roman;serif"/>
          <w:b/>
          <w:color w:val="000000"/>
          <w:sz w:val="20"/>
        </w:rPr>
        <w:t>Condensed Consolidated Statements of Operations</w:t>
      </w:r>
      <w:r>
        <w:rPr>
          <w:rFonts w:ascii="Times New Roman;serif" w:hAnsi="Times New Roman;serif"/>
          <w:b/>
          <w:color w:val="000000"/>
          <w:sz w:val="13"/>
        </w:rPr>
        <w:t>(g)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08"/>
        <w:gridCol w:w="1256"/>
        <w:gridCol w:w="1237"/>
        <w:gridCol w:w="245"/>
        <w:gridCol w:w="950"/>
        <w:gridCol w:w="117"/>
        <w:gridCol w:w="117"/>
        <w:gridCol w:w="117"/>
        <w:gridCol w:w="117"/>
        <w:gridCol w:w="245"/>
        <w:gridCol w:w="950"/>
        <w:gridCol w:w="117"/>
        <w:gridCol w:w="109"/>
        <w:gridCol w:w="109"/>
        <w:gridCol w:w="109"/>
        <w:gridCol w:w="201"/>
        <w:gridCol w:w="895"/>
        <w:gridCol w:w="111"/>
        <w:gridCol w:w="111"/>
        <w:gridCol w:w="111"/>
        <w:gridCol w:w="111"/>
        <w:gridCol w:w="201"/>
        <w:gridCol w:w="895"/>
        <w:gridCol w:w="166"/>
      </w:tblGrid>
      <w:tr>
        <w:trPr/>
        <w:tc>
          <w:tcPr>
            <w:tcW w:w="160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1,236,477 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1,001,250 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expense</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975,601 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780,801 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platform</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137,777 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620,857 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1,217,282 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992,696 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Privia Health Group, Inc.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Privia Health Group, Inc. stockholders – basic</w:t>
            </w:r>
          </w:p>
        </w:tc>
        <w:tc>
          <w:tcPr>
            <w:tcW w:w="2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6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Privia Health Group, Inc. stockholders – diluted</w:t>
            </w:r>
          </w:p>
        </w:tc>
        <w:tc>
          <w:tcPr>
            <w:tcW w:w="2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6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9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126,121,426 </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122,132,245 </w:t>
            </w:r>
          </w:p>
        </w:tc>
        <w:tc>
          <w:tcPr>
            <w:tcW w:w="11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125,142,415 </w:t>
            </w:r>
          </w:p>
        </w:tc>
        <w:tc>
          <w:tcPr>
            <w:tcW w:w="1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121,370,949 </w:t>
            </w:r>
          </w:p>
        </w:tc>
        <w:tc>
          <w:tcPr>
            <w:tcW w:w="16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195"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131,827,233 </w:t>
            </w:r>
          </w:p>
        </w:tc>
        <w:tc>
          <w:tcPr>
            <w:tcW w:w="1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128,447,069 </w:t>
            </w:r>
          </w:p>
        </w:tc>
        <w:tc>
          <w:tcPr>
            <w:tcW w:w="1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131,355,421 </w:t>
            </w:r>
          </w:p>
        </w:tc>
        <w:tc>
          <w:tcPr>
            <w:tcW w:w="1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128,149,252 </w:t>
            </w:r>
          </w:p>
        </w:tc>
        <w:tc>
          <w:tcPr>
            <w:tcW w:w="1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9"/>
        </w:rPr>
        <w:t>(g)</w:t>
      </w:r>
      <w:r>
        <w:rPr>
          <w:color w:val="000000"/>
        </w:rPr>
        <w:t xml:space="preserve"> </w:t>
      </w:r>
      <w:r>
        <w:rPr>
          <w:rFonts w:ascii="Times New Roman;serif" w:hAnsi="Times New Roman;serif"/>
          <w:b w:val="false"/>
          <w:color w:val="000000"/>
          <w:sz w:val="14"/>
        </w:rPr>
        <w:t>Any slight variations in totals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Privia Health Group, Inc. </w:t>
      </w:r>
    </w:p>
    <w:p>
      <w:pPr>
        <w:pStyle w:val="TextBody"/>
        <w:bidi w:val="0"/>
        <w:spacing w:lineRule="auto" w:line="288" w:before="0" w:after="0"/>
        <w:jc w:val="center"/>
        <w:rPr/>
      </w:pPr>
      <w:r>
        <w:rPr>
          <w:rFonts w:ascii="Times New Roman;serif" w:hAnsi="Times New Roman;serif"/>
          <w:b/>
          <w:color w:val="000000"/>
          <w:sz w:val="20"/>
        </w:rPr>
        <w:t>Condensed Consolidated Balance Sheets</w:t>
      </w:r>
      <w:r>
        <w:rPr>
          <w:rFonts w:ascii="Times New Roman;serif" w:hAnsi="Times New Roman;serif"/>
          <w:b/>
          <w:color w:val="000000"/>
          <w:sz w:val="13"/>
        </w:rPr>
        <w: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7711" w:type="dxa"/>
        <w:jc w:val="center"/>
        <w:tblInd w:w="0" w:type="dxa"/>
        <w:tblLayout w:type="fixed"/>
        <w:tblCellMar>
          <w:top w:w="28" w:type="dxa"/>
          <w:left w:w="28" w:type="dxa"/>
          <w:bottom w:w="28" w:type="dxa"/>
          <w:right w:w="28" w:type="dxa"/>
        </w:tblCellMar>
      </w:tblPr>
      <w:tblGrid>
        <w:gridCol w:w="1556"/>
        <w:gridCol w:w="1373"/>
        <w:gridCol w:w="1390"/>
        <w:gridCol w:w="211"/>
        <w:gridCol w:w="976"/>
        <w:gridCol w:w="109"/>
        <w:gridCol w:w="109"/>
        <w:gridCol w:w="109"/>
        <w:gridCol w:w="109"/>
        <w:gridCol w:w="278"/>
        <w:gridCol w:w="1288"/>
        <w:gridCol w:w="203"/>
      </w:tblGrid>
      <w:tr>
        <w:trPr/>
        <w:tc>
          <w:tcPr>
            <w:tcW w:w="155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479,685 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400,902 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911,001 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215,919 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458,377 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1,369,378 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469,516 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568,520 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578,435 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892,291 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(156,310)</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Privia Health Group, Inc. stockholders’ equity</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737,217 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790,943 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1,369,378 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9"/>
        </w:rPr>
        <w:t>(h)</w:t>
      </w:r>
      <w:r>
        <w:rPr>
          <w:color w:val="000000"/>
        </w:rPr>
        <w:t xml:space="preserve"> </w:t>
      </w:r>
      <w:r>
        <w:rPr>
          <w:rFonts w:ascii="Times New Roman;serif" w:hAnsi="Times New Roman;serif"/>
          <w:b w:val="false"/>
          <w:color w:val="000000"/>
          <w:sz w:val="14"/>
        </w:rPr>
        <w:t>Any slight variations in totals are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Privia Health Group, Inc.</w:t>
      </w:r>
    </w:p>
    <w:p>
      <w:pPr>
        <w:pStyle w:val="TextBody"/>
        <w:bidi w:val="0"/>
        <w:spacing w:lineRule="auto" w:line="288" w:before="0" w:after="0"/>
        <w:jc w:val="center"/>
        <w:rPr/>
      </w:pPr>
      <w:r>
        <w:rPr>
          <w:rFonts w:ascii="Times New Roman;serif" w:hAnsi="Times New Roman;serif"/>
          <w:b/>
          <w:color w:val="000000"/>
          <w:sz w:val="20"/>
        </w:rPr>
        <w:t>Condensed Consolidated Statements of Cash Flows</w:t>
      </w:r>
      <w:r>
        <w:rPr>
          <w:rFonts w:ascii="Times New Roman;serif" w:hAnsi="Times New Roman;serif"/>
          <w:b/>
          <w:color w:val="000000"/>
          <w:sz w:val="13"/>
        </w:rPr>
        <w:t>(i)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9401" w:type="dxa"/>
        <w:jc w:val="left"/>
        <w:tblInd w:w="0" w:type="dxa"/>
        <w:tblLayout w:type="fixed"/>
        <w:tblCellMar>
          <w:top w:w="28" w:type="dxa"/>
          <w:left w:w="28" w:type="dxa"/>
          <w:bottom w:w="28" w:type="dxa"/>
          <w:right w:w="28" w:type="dxa"/>
        </w:tblCellMar>
      </w:tblPr>
      <w:tblGrid>
        <w:gridCol w:w="2289"/>
        <w:gridCol w:w="2011"/>
        <w:gridCol w:w="2015"/>
        <w:gridCol w:w="244"/>
        <w:gridCol w:w="958"/>
        <w:gridCol w:w="126"/>
        <w:gridCol w:w="126"/>
        <w:gridCol w:w="126"/>
        <w:gridCol w:w="126"/>
        <w:gridCol w:w="244"/>
        <w:gridCol w:w="958"/>
        <w:gridCol w:w="178"/>
      </w:tblGrid>
      <w:tr>
        <w:trPr/>
        <w:tc>
          <w:tcPr>
            <w:tcW w:w="228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7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 and liabilities:</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(172,378)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right-of-use assets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liability</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(48,365)</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from investing activities</w:t>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acquisitions, net of cash acquired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(89,058)</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exercised stock options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non-controlling interest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non-controlling interest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(101,022)</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479,685 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491,149 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390,127 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4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10,656 </w:t>
            </w:r>
          </w:p>
        </w:tc>
        <w:tc>
          <w:tcPr>
            <w:tcW w:w="12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7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operating activities:</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obtained in exchange for right-of-use assets</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payable</w:t>
            </w:r>
          </w:p>
        </w:tc>
        <w:tc>
          <w:tcPr>
            <w:tcW w:w="24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 xml:space="preserve">(i) </w:t>
      </w:r>
      <w:r>
        <w:rPr>
          <w:rFonts w:ascii="Times New Roman;serif" w:hAnsi="Times New Roman;serif"/>
          <w:b w:val="false"/>
          <w:color w:val="000000"/>
          <w:sz w:val="14"/>
        </w:rPr>
        <w:t>Any slight variations in totals are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Additional Financial Information</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Revenues disaggregated by source:</w:t>
      </w:r>
    </w:p>
    <w:tbl>
      <w:tblPr>
        <w:tblW w:w="9045" w:type="dxa"/>
        <w:jc w:val="left"/>
        <w:tblInd w:w="0" w:type="dxa"/>
        <w:tblLayout w:type="fixed"/>
        <w:tblCellMar>
          <w:top w:w="28" w:type="dxa"/>
          <w:left w:w="28" w:type="dxa"/>
          <w:bottom w:w="28" w:type="dxa"/>
          <w:right w:w="28" w:type="dxa"/>
        </w:tblCellMar>
      </w:tblPr>
      <w:tblGrid>
        <w:gridCol w:w="983"/>
        <w:gridCol w:w="865"/>
        <w:gridCol w:w="866"/>
        <w:gridCol w:w="245"/>
        <w:gridCol w:w="960"/>
        <w:gridCol w:w="126"/>
        <w:gridCol w:w="126"/>
        <w:gridCol w:w="126"/>
        <w:gridCol w:w="126"/>
        <w:gridCol w:w="245"/>
        <w:gridCol w:w="960"/>
        <w:gridCol w:w="126"/>
        <w:gridCol w:w="109"/>
        <w:gridCol w:w="109"/>
        <w:gridCol w:w="109"/>
        <w:gridCol w:w="211"/>
        <w:gridCol w:w="97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FFS-patient care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412,640 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331,464 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FFS-administrative services </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Capitated revenue</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Shared savings </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Care management fees (PMPM) </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revenue </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632,630 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521,153 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52" w:before="120" w:after="283"/>
        <w:jc w:val="left"/>
        <w:rPr>
          <w:rFonts w:ascii="Times New Roman;serif" w:hAnsi="Times New Roman;serif"/>
          <w:b/>
          <w:i/>
          <w:color w:val="000000"/>
          <w:sz w:val="22"/>
        </w:rPr>
      </w:pPr>
      <w:r>
        <w:rPr>
          <w:rFonts w:ascii="Times New Roman;serif" w:hAnsi="Times New Roman;serif"/>
          <w:b/>
          <w:i/>
          <w:color w:val="000000"/>
          <w:sz w:val="22"/>
        </w:rPr>
        <w:t>The Company’s liabilities for unpaid medical claims under at-risk capitation arrangements:</w:t>
      </w:r>
    </w:p>
    <w:tbl>
      <w:tblPr>
        <w:tblW w:w="5676" w:type="dxa"/>
        <w:jc w:val="left"/>
        <w:tblInd w:w="0" w:type="dxa"/>
        <w:tblLayout w:type="fixed"/>
        <w:tblCellMar>
          <w:top w:w="28" w:type="dxa"/>
          <w:left w:w="28" w:type="dxa"/>
          <w:bottom w:w="28" w:type="dxa"/>
          <w:right w:w="28" w:type="dxa"/>
        </w:tblCellMar>
      </w:tblPr>
      <w:tblGrid>
        <w:gridCol w:w="918"/>
        <w:gridCol w:w="808"/>
        <w:gridCol w:w="809"/>
        <w:gridCol w:w="109"/>
        <w:gridCol w:w="109"/>
        <w:gridCol w:w="109"/>
        <w:gridCol w:w="211"/>
        <w:gridCol w:w="901"/>
        <w:gridCol w:w="109"/>
        <w:gridCol w:w="109"/>
        <w:gridCol w:w="109"/>
        <w:gridCol w:w="109"/>
        <w:gridCol w:w="211"/>
        <w:gridCol w:w="90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beginning of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health care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Key Metrics and 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Privia Health reviews a number of operating and financial metrics, including the following key metrics and non-GAAP financial measures, to evaluate the Company’s business, measure performance, identify trends affecting the Company’s business, formulate business plans, and make strategic decisions.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Key Metrics</w:t>
      </w:r>
      <w:r>
        <w:rPr>
          <w:rFonts w:ascii="Times New Roman;serif" w:hAnsi="Times New Roman;serif"/>
          <w:b/>
          <w:i/>
          <w:color w:val="000000"/>
          <w:sz w:val="14"/>
        </w:rPr>
        <w:t>(j)</w:t>
      </w:r>
    </w:p>
    <w:tbl>
      <w:tblPr>
        <w:tblW w:w="10205" w:type="dxa"/>
        <w:jc w:val="left"/>
        <w:tblInd w:w="0" w:type="dxa"/>
        <w:tblLayout w:type="fixed"/>
        <w:tblCellMar>
          <w:top w:w="28" w:type="dxa"/>
          <w:left w:w="28" w:type="dxa"/>
          <w:bottom w:w="28" w:type="dxa"/>
          <w:right w:w="28" w:type="dxa"/>
        </w:tblCellMar>
      </w:tblPr>
      <w:tblGrid>
        <w:gridCol w:w="989"/>
        <w:gridCol w:w="818"/>
        <w:gridCol w:w="820"/>
        <w:gridCol w:w="141"/>
        <w:gridCol w:w="141"/>
        <w:gridCol w:w="141"/>
        <w:gridCol w:w="378"/>
        <w:gridCol w:w="885"/>
        <w:gridCol w:w="169"/>
        <w:gridCol w:w="169"/>
        <w:gridCol w:w="169"/>
        <w:gridCol w:w="169"/>
        <w:gridCol w:w="378"/>
        <w:gridCol w:w="885"/>
        <w:gridCol w:w="169"/>
        <w:gridCol w:w="141"/>
        <w:gridCol w:w="141"/>
        <w:gridCol w:w="141"/>
        <w:gridCol w:w="277"/>
        <w:gridCol w:w="980"/>
        <w:gridCol w:w="153"/>
        <w:gridCol w:w="153"/>
        <w:gridCol w:w="153"/>
        <w:gridCol w:w="153"/>
        <w:gridCol w:w="277"/>
        <w:gridCol w:w="980"/>
        <w:gridCol w:w="235"/>
      </w:tblGrid>
      <w:tr>
        <w:trPr/>
        <w:tc>
          <w:tcPr>
            <w:tcW w:w="98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 in millions)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Implemented Providers (as of end of period) </w:t>
            </w:r>
            <w:r>
              <w:rPr>
                <w:rFonts w:ascii="Times New Roman;serif" w:hAnsi="Times New Roman;serif"/>
                <w:b w:val="false"/>
                <w:color w:val="000000"/>
                <w:sz w:val="12"/>
              </w:rPr>
              <w:t>(1)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Attributed Lives (as of end of period) </w:t>
            </w:r>
            <w:r>
              <w:rPr>
                <w:rFonts w:ascii="Times New Roman;serif" w:hAnsi="Times New Roman;serif"/>
                <w:b w:val="false"/>
                <w:color w:val="000000"/>
                <w:sz w:val="12"/>
              </w:rPr>
              <w:t>(2)</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1,647,000 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1,382,000 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1,647,000 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1,382,000 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Practice Collections </w:t>
            </w:r>
            <w:r>
              <w:rPr>
                <w:rFonts w:ascii="Times New Roman;serif" w:hAnsi="Times New Roman;serif"/>
                <w:b w:val="false"/>
                <w:color w:val="000000"/>
                <w:sz w:val="12"/>
              </w:rPr>
              <w:t>(3)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Implemented Providers is defined as the total of all service professionals at the end of a given period who are credentialed and bill for medical services in both Owned and Non-Owned Medical Groups during that period.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Attributed Lives are defined as any patient that a payer deems attributed to Privia to deliver care as part of a value-based care arrangement through a provider of primary care or specialty services as of the end of a particular period.</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Practice Collections are defined as the total collections from all practices in all markets and all sources of reimbursement that the Company receives for delivering care and providing Privia Health’s platform and associated services. Practice Collections differ from revenue by including collections from Non-Owned Medical Groups.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(j) </w:t>
            </w:r>
            <w:r>
              <w:rPr>
                <w:rFonts w:ascii="Times New Roman;serif" w:hAnsi="Times New Roman;serif"/>
                <w:b w:val="false"/>
                <w:color w:val="000000"/>
                <w:sz w:val="18"/>
              </w:rPr>
              <w:t>Any slight variations in totals are due to rounding.</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Non-GAAP Financial Measures</w:t>
      </w:r>
      <w:r>
        <w:rPr>
          <w:color w:val="000000"/>
        </w:rPr>
        <w:t xml:space="preserve"> </w:t>
      </w:r>
      <w:r>
        <w:rPr>
          <w:rFonts w:ascii="Times New Roman;serif" w:hAnsi="Times New Roman;serif"/>
          <w:b/>
          <w:i/>
          <w:color w:val="000000"/>
          <w:sz w:val="14"/>
        </w:rPr>
        <w:t>(5)(k)</w:t>
      </w:r>
    </w:p>
    <w:tbl>
      <w:tblPr>
        <w:tblW w:w="10205" w:type="dxa"/>
        <w:jc w:val="left"/>
        <w:tblInd w:w="0" w:type="dxa"/>
        <w:tblLayout w:type="fixed"/>
        <w:tblCellMar>
          <w:top w:w="28" w:type="dxa"/>
          <w:left w:w="28" w:type="dxa"/>
          <w:bottom w:w="28" w:type="dxa"/>
          <w:right w:w="28" w:type="dxa"/>
        </w:tblCellMar>
      </w:tblPr>
      <w:tblGrid>
        <w:gridCol w:w="793"/>
        <w:gridCol w:w="656"/>
        <w:gridCol w:w="659"/>
        <w:gridCol w:w="147"/>
        <w:gridCol w:w="147"/>
        <w:gridCol w:w="147"/>
        <w:gridCol w:w="494"/>
        <w:gridCol w:w="468"/>
        <w:gridCol w:w="469"/>
        <w:gridCol w:w="252"/>
        <w:gridCol w:w="252"/>
        <w:gridCol w:w="252"/>
        <w:gridCol w:w="494"/>
        <w:gridCol w:w="468"/>
        <w:gridCol w:w="469"/>
        <w:gridCol w:w="147"/>
        <w:gridCol w:w="147"/>
        <w:gridCol w:w="147"/>
        <w:gridCol w:w="467"/>
        <w:gridCol w:w="468"/>
        <w:gridCol w:w="469"/>
        <w:gridCol w:w="237"/>
        <w:gridCol w:w="237"/>
        <w:gridCol w:w="237"/>
        <w:gridCol w:w="467"/>
        <w:gridCol w:w="414"/>
        <w:gridCol w:w="601"/>
      </w:tblGrid>
      <w:tr>
        <w:trPr/>
        <w:tc>
          <w:tcPr>
            <w:tcW w:w="79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 in thousands)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Care Margin</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132,146</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115,161</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260,876</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220,449</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 Contribution</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68,989</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136,022</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109,199</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 Contribution Margin</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37,429</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28,992</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74,120</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55,907</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 xml:space="preserve">In addition to results reported in accordance with GAAP, Privia Health discloses Care Margin, Platform Contribution, Platform Contribution margin, Adjusted EBITDA and Adjusted EBITDA Margin, which are non-GAAP financial measures. Each are defined as follows: </w:t>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18"/>
              </w:rPr>
              <w:t>Care Margin is Gross Profit excluding amortization of intangible assets.</w:t>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18"/>
              </w:rPr>
              <w:t>Platform Contribution is Gross Profit, excluding amortization of intangible assets, less Cost of platform and excluding stock-based compensation expense included in Cost of platform.</w:t>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18"/>
              </w:rPr>
              <w:t>Platform Contribution margin is Platform Contribution divided by Care Margin.</w:t>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18"/>
              </w:rPr>
              <w:t>Adjusted EBITDA is net income before interest income, net, provision for income taxes, net income attributable to non-controlling interests, depreciation and amortization, stock-based compensation, employer taxes on equity vesting/exercises, severance charges, contingent and deferred consideration, and other non-recurring expenses.</w:t>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18"/>
              </w:rPr>
              <w:t>Adjusted EBITDA Margin is Adjusted EBITDA divided by Care Margin.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(k)</w:t>
            </w:r>
            <w:r>
              <w:rPr>
                <w:color w:val="000000"/>
              </w:rPr>
              <w:t xml:space="preserve"> </w:t>
            </w:r>
            <w:r>
              <w:rPr>
                <w:rFonts w:ascii="Times New Roman;serif" w:hAnsi="Times New Roman;serif"/>
                <w:b w:val="false"/>
                <w:color w:val="000000"/>
                <w:sz w:val="18"/>
              </w:rPr>
              <w:t>Any slight variations in totals are due to rounding.</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00" w:after="283"/>
        <w:ind w:left="0" w:right="0" w:hanging="360"/>
        <w:jc w:val="both"/>
        <w:rPr/>
      </w:pPr>
      <w:r>
        <w:rPr>
          <w:rFonts w:ascii="Times New Roman;serif" w:hAnsi="Times New Roman;serif"/>
          <w:b/>
          <w:i/>
          <w:color w:val="000000"/>
          <w:sz w:val="22"/>
        </w:rPr>
        <w:t>Reconciliation of Gross Profit to Care Margin</w:t>
      </w:r>
      <w:r>
        <w:rPr>
          <w:rFonts w:ascii="Times New Roman;serif" w:hAnsi="Times New Roman;serif"/>
          <w:b/>
          <w:i/>
          <w:color w:val="000000"/>
          <w:sz w:val="14"/>
        </w:rPr>
        <w:t>(l)</w:t>
      </w:r>
    </w:p>
    <w:tbl>
      <w:tblPr>
        <w:tblW w:w="9928"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516"/>
        <w:gridCol w:w="345"/>
        <w:gridCol w:w="346"/>
        <w:gridCol w:w="287"/>
        <w:gridCol w:w="287"/>
        <w:gridCol w:w="287"/>
        <w:gridCol w:w="516"/>
        <w:gridCol w:w="345"/>
        <w:gridCol w:w="346"/>
        <w:gridCol w:w="109"/>
        <w:gridCol w:w="109"/>
        <w:gridCol w:w="109"/>
        <w:gridCol w:w="470"/>
        <w:gridCol w:w="413"/>
        <w:gridCol w:w="413"/>
        <w:gridCol w:w="261"/>
        <w:gridCol w:w="261"/>
        <w:gridCol w:w="261"/>
        <w:gridCol w:w="470"/>
        <w:gridCol w:w="360"/>
        <w:gridCol w:w="511"/>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632,630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1,236,477</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1,001,250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Provider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(500,484)</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(975,601)</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(780,801)</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128,935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254,530</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216,380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Amortization of intangibles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Care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132,146</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260,876</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220,449</w:t>
            </w:r>
          </w:p>
        </w:tc>
      </w:tr>
      <w:tr>
        <w:trPr/>
        <w:tc>
          <w:tcPr>
            <w:tcW w:w="9928"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(l)</w:t>
            </w:r>
            <w:r>
              <w:rPr>
                <w:color w:val="000000"/>
              </w:rPr>
              <w:t xml:space="preserve"> </w:t>
            </w:r>
            <w:r>
              <w:rPr>
                <w:rFonts w:ascii="Times New Roman;serif" w:hAnsi="Times New Roman;serif"/>
                <w:b w:val="false"/>
                <w:color w:val="000000"/>
                <w:sz w:val="18"/>
              </w:rPr>
              <w:t>Any slight variations in totals are due to rounding.</w:t>
            </w:r>
          </w:p>
        </w:tc>
      </w:tr>
    </w:tbl>
    <w:p>
      <w:pPr>
        <w:pStyle w:val="TextBody"/>
        <w:bidi w:val="0"/>
        <w:spacing w:lineRule="auto" w:line="288" w:before="200" w:after="283"/>
        <w:ind w:left="0" w:right="0" w:hanging="360"/>
        <w:jc w:val="both"/>
        <w:rPr/>
      </w:pPr>
      <w:r>
        <w:rPr>
          <w:rFonts w:ascii="Times New Roman;serif" w:hAnsi="Times New Roman;serif"/>
          <w:b/>
          <w:i/>
          <w:color w:val="000000"/>
          <w:sz w:val="22"/>
        </w:rPr>
        <w:t>Reconciliation of Gross Profit to Platform Contribution</w:t>
      </w:r>
      <w:r>
        <w:rPr>
          <w:rFonts w:ascii="Times New Roman;serif" w:hAnsi="Times New Roman;serif"/>
          <w:b/>
          <w:i/>
          <w:color w:val="000000"/>
          <w:sz w:val="14"/>
        </w:rPr>
        <w:t>(m)</w:t>
      </w:r>
    </w:p>
    <w:tbl>
      <w:tblPr>
        <w:tblW w:w="9868"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516"/>
        <w:gridCol w:w="345"/>
        <w:gridCol w:w="346"/>
        <w:gridCol w:w="287"/>
        <w:gridCol w:w="287"/>
        <w:gridCol w:w="287"/>
        <w:gridCol w:w="516"/>
        <w:gridCol w:w="345"/>
        <w:gridCol w:w="346"/>
        <w:gridCol w:w="109"/>
        <w:gridCol w:w="109"/>
        <w:gridCol w:w="109"/>
        <w:gridCol w:w="470"/>
        <w:gridCol w:w="413"/>
        <w:gridCol w:w="413"/>
        <w:gridCol w:w="261"/>
        <w:gridCol w:w="261"/>
        <w:gridCol w:w="261"/>
        <w:gridCol w:w="470"/>
        <w:gridCol w:w="360"/>
        <w:gridCol w:w="511"/>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632,630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1,236,477</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1,001,250</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Provider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(500,484)</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(975,601)</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(780,801)</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128,935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254,530</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216,380</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platform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(69,357)</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(137,777)</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(124,444)</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w:t>
            </w:r>
            <w:r>
              <w:rPr>
                <w:rFonts w:ascii="Times New Roman;serif" w:hAnsi="Times New Roman;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12,923</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Platform Contribution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68,989</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136,022</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109,199</w:t>
            </w:r>
          </w:p>
        </w:tc>
      </w:tr>
      <w:tr>
        <w:trPr/>
        <w:tc>
          <w:tcPr>
            <w:tcW w:w="9868"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(m)</w:t>
            </w:r>
            <w:r>
              <w:rPr>
                <w:color w:val="000000"/>
              </w:rPr>
              <w:t xml:space="preserve"> </w:t>
            </w:r>
            <w:r>
              <w:rPr>
                <w:rFonts w:ascii="Times New Roman;serif" w:hAnsi="Times New Roman;serif"/>
                <w:b w:val="false"/>
                <w:color w:val="000000"/>
                <w:sz w:val="18"/>
              </w:rPr>
              <w:t>Any slight variations in totals are due to rounding.</w:t>
            </w:r>
          </w:p>
        </w:tc>
      </w:tr>
      <w:tr>
        <w:trPr/>
        <w:tc>
          <w:tcPr>
            <w:tcW w:w="9868"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Amount represents stock-based compensation expense included in Cost of platform.</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Reconciliation of Net Income to Adjusted EBITDA</w:t>
      </w:r>
      <w:r>
        <w:rPr>
          <w:rFonts w:ascii="Times New Roman;serif" w:hAnsi="Times New Roman;serif"/>
          <w:b/>
          <w:i/>
          <w:color w:val="000000"/>
          <w:sz w:val="14"/>
        </w:rPr>
        <w:t>(n)</w:t>
      </w:r>
    </w:p>
    <w:tbl>
      <w:tblPr>
        <w:tblW w:w="10205" w:type="dxa"/>
        <w:jc w:val="left"/>
        <w:tblInd w:w="0" w:type="dxa"/>
        <w:tblLayout w:type="fixed"/>
        <w:tblCellMar>
          <w:top w:w="28" w:type="dxa"/>
          <w:left w:w="28" w:type="dxa"/>
          <w:bottom w:w="28" w:type="dxa"/>
          <w:right w:w="28" w:type="dxa"/>
        </w:tblCellMar>
      </w:tblPr>
      <w:tblGrid>
        <w:gridCol w:w="1266"/>
        <w:gridCol w:w="1089"/>
        <w:gridCol w:w="1096"/>
        <w:gridCol w:w="113"/>
        <w:gridCol w:w="113"/>
        <w:gridCol w:w="113"/>
        <w:gridCol w:w="494"/>
        <w:gridCol w:w="351"/>
        <w:gridCol w:w="296"/>
        <w:gridCol w:w="269"/>
        <w:gridCol w:w="269"/>
        <w:gridCol w:w="269"/>
        <w:gridCol w:w="494"/>
        <w:gridCol w:w="351"/>
        <w:gridCol w:w="296"/>
        <w:gridCol w:w="113"/>
        <w:gridCol w:w="113"/>
        <w:gridCol w:w="113"/>
        <w:gridCol w:w="453"/>
        <w:gridCol w:w="313"/>
        <w:gridCol w:w="314"/>
        <w:gridCol w:w="246"/>
        <w:gridCol w:w="246"/>
        <w:gridCol w:w="246"/>
        <w:gridCol w:w="453"/>
        <w:gridCol w:w="317"/>
        <w:gridCol w:w="399"/>
      </w:tblGrid>
      <w:tr>
        <w:trPr/>
        <w:tc>
          <w:tcPr>
            <w:tcW w:w="126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 in thousands)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12,112</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7,017</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(5,339)</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4,484</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41,317</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36,639</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expenses</w:t>
            </w:r>
            <w:r>
              <w:rPr>
                <w:rFonts w:ascii="Times New Roman;serif" w:hAnsi="Times New Roman;serif"/>
                <w:b w:val="false"/>
                <w:color w:val="000000"/>
                <w:sz w:val="12"/>
              </w:rPr>
              <w:t>(7)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37,429</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74,120</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55,907</w:t>
            </w:r>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(n)</w:t>
            </w:r>
            <w:r>
              <w:rPr>
                <w:color w:val="000000"/>
              </w:rPr>
              <w:t xml:space="preserve"> </w:t>
            </w:r>
            <w:r>
              <w:rPr>
                <w:rFonts w:ascii="Times New Roman;serif" w:hAnsi="Times New Roman;serif"/>
                <w:b w:val="false"/>
                <w:color w:val="000000"/>
                <w:sz w:val="18"/>
              </w:rPr>
              <w:t>Any slight variations in totals are due to rounding.</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(7) </w:t>
            </w:r>
            <w:r>
              <w:rPr>
                <w:rFonts w:ascii="Times New Roman;serif" w:hAnsi="Times New Roman;serif"/>
                <w:b w:val="false"/>
                <w:color w:val="000000"/>
                <w:sz w:val="18"/>
              </w:rPr>
              <w:t>Other expenses include employer taxes on equity vesting/exercises, severance, contingent and deferred consideration, and other non-recurring expenses.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i/>
          <w:color w:val="000000"/>
          <w:sz w:val="22"/>
        </w:rPr>
        <w:t>Reconciliation of Net Income to Adjusted Net Income and Adjusted Net Income Per Share</w:t>
      </w:r>
      <w:r>
        <w:rPr>
          <w:rFonts w:ascii="Times New Roman;serif" w:hAnsi="Times New Roman;serif"/>
          <w:b/>
          <w:i/>
          <w:color w:val="000000"/>
          <w:sz w:val="14"/>
        </w:rPr>
        <w:t>(o)</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8"/>
        <w:gridCol w:w="1376"/>
        <w:gridCol w:w="1383"/>
        <w:gridCol w:w="469"/>
        <w:gridCol w:w="337"/>
        <w:gridCol w:w="277"/>
        <w:gridCol w:w="211"/>
        <w:gridCol w:w="211"/>
        <w:gridCol w:w="211"/>
        <w:gridCol w:w="469"/>
        <w:gridCol w:w="337"/>
        <w:gridCol w:w="277"/>
        <w:gridCol w:w="109"/>
        <w:gridCol w:w="109"/>
        <w:gridCol w:w="109"/>
        <w:gridCol w:w="442"/>
        <w:gridCol w:w="300"/>
        <w:gridCol w:w="301"/>
        <w:gridCol w:w="196"/>
        <w:gridCol w:w="196"/>
        <w:gridCol w:w="196"/>
        <w:gridCol w:w="442"/>
        <w:gridCol w:w="303"/>
        <w:gridCol w:w="366"/>
      </w:tblGrid>
      <w:tr>
        <w:trPr/>
        <w:tc>
          <w:tcPr>
            <w:tcW w:w="157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 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w:t>
            </w:r>
            <w:r>
              <w:rPr>
                <w:rFonts w:ascii="Times New Roman;serif" w:hAnsi="Times New Roman;serif"/>
                <w:b/>
                <w:color w:val="000000"/>
                <w:sz w:val="1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w:t>
            </w:r>
            <w:r>
              <w:rPr>
                <w:rFonts w:ascii="Times New Roman;serif" w:hAnsi="Times New Roman;serif"/>
                <w:b/>
                <w:color w:val="000000"/>
                <w:sz w:val="10"/>
              </w:rPr>
              <w:t>(10)</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9,048</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12,112</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19,396</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41,317</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36,639</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 expense</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expenses</w:t>
            </w:r>
            <w:r>
              <w:rPr>
                <w:rFonts w:ascii="Times New Roman;serif" w:hAnsi="Times New Roman;serif"/>
                <w:b w:val="false"/>
                <w:color w:val="000000"/>
                <w:sz w:val="12"/>
              </w:rPr>
              <w:t>(8)</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effect of adjustments</w:t>
            </w:r>
            <w:r>
              <w:rPr>
                <w:rFonts w:ascii="Times New Roman;serif" w:hAnsi="Times New Roman;serif"/>
                <w:b w:val="false"/>
                <w:color w:val="000000"/>
                <w:sz w:val="12"/>
              </w:rPr>
              <w:t>(9)</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(13,857)</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(12,673)</w:t>
            </w:r>
          </w:p>
        </w:tc>
      </w:tr>
      <w:tr>
        <w:trPr/>
        <w:tc>
          <w:tcPr>
            <w:tcW w:w="43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25,255</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49,579</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41,172</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net income per share attributable to Privia Health Group, Inc. stockholders – basic </w:t>
            </w:r>
          </w:p>
        </w:tc>
        <w:tc>
          <w:tcPr>
            <w:tcW w:w="46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attributable to Privia Health Group, Inc. stockholders – diluted</w:t>
            </w:r>
          </w:p>
        </w:tc>
        <w:tc>
          <w:tcPr>
            <w:tcW w:w="46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common shares outstanding – basic </w:t>
            </w:r>
          </w:p>
        </w:tc>
        <w:tc>
          <w:tcPr>
            <w:tcW w:w="1083"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126,121,426</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122,132,245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125,142,415</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121,370,949</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83"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131,827,233</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128,447,069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131,355,421</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128,149,252</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(o)</w:t>
            </w:r>
            <w:r>
              <w:rPr>
                <w:color w:val="000000"/>
              </w:rPr>
              <w:t xml:space="preserve"> </w:t>
            </w:r>
            <w:r>
              <w:rPr>
                <w:rFonts w:ascii="Times New Roman;serif" w:hAnsi="Times New Roman;serif"/>
                <w:b w:val="false"/>
                <w:color w:val="000000"/>
                <w:sz w:val="18"/>
              </w:rPr>
              <w:t>Any slight variations in totals due to rounding.</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(8) </w:t>
            </w:r>
            <w:r>
              <w:rPr>
                <w:rFonts w:ascii="Times New Roman;serif" w:hAnsi="Times New Roman;serif"/>
                <w:b w:val="false"/>
                <w:color w:val="000000"/>
                <w:sz w:val="18"/>
              </w:rPr>
              <w:t>Other expenses include employer taxes on equity vesting/exercises, severance, contingent and deferred consideration, and other non-recurring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(9) </w:t>
            </w:r>
            <w:r>
              <w:rPr>
                <w:rFonts w:ascii="Times New Roman;serif" w:hAnsi="Times New Roman;serif"/>
                <w:b w:val="false"/>
                <w:color w:val="000000"/>
                <w:sz w:val="18"/>
              </w:rPr>
              <w:t>The Company uses a statutory blended tax rate of 27% on the adjustments between Net Income and Adjusted Net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(10) </w:t>
            </w:r>
            <w:r>
              <w:rPr>
                <w:rFonts w:ascii="Times New Roman;serif" w:hAnsi="Times New Roman;serif"/>
                <w:b w:val="false"/>
                <w:color w:val="000000"/>
                <w:sz w:val="18"/>
              </w:rPr>
              <w:t>Updated to conform with current year presentation.</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4324</Words>
  <Characters>24495</Characters>
  <CharactersWithSpaces>28050</CharactersWithSpaces>
  <Paragraphs>1134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