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9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Privia Health Group,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35" w:lineRule="exact"/>
        <w:rPr>
          <w:sz w:val="24"/>
          <w:szCs w:val="24"/>
          <w:color w:val="auto"/>
        </w:rPr>
      </w:pPr>
    </w:p>
    <w:tbl>
      <w:tblPr>
        <w:tblLayout w:type="fixed"/>
        <w:tblInd w:w="220" w:type="dxa"/>
        <w:tblCellMar>
          <w:top w:w="0" w:type="dxa"/>
          <w:left w:w="0" w:type="dxa"/>
          <w:bottom w:w="0" w:type="dxa"/>
          <w:right w:w="0" w:type="dxa"/>
        </w:tblCellMar>
      </w:tblPr>
      <w:tr>
        <w:trPr>
          <w:trHeight w:val="252"/>
        </w:trPr>
        <w:tc>
          <w:tcPr>
            <w:tcW w:w="45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7"/>
              </w:rPr>
              <w:t>001-40365</w:t>
            </w:r>
          </w:p>
        </w:tc>
        <w:tc>
          <w:tcPr>
            <w:tcW w:w="2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81-3599420</w:t>
            </w:r>
          </w:p>
        </w:tc>
        <w:tc>
          <w:tcPr>
            <w:tcW w:w="0" w:type="dxa"/>
            <w:vAlign w:val="bottom"/>
          </w:tcPr>
          <w:p>
            <w:pPr>
              <w:spacing w:after="0"/>
              <w:rPr>
                <w:sz w:val="1"/>
                <w:szCs w:val="1"/>
                <w:color w:val="auto"/>
              </w:rPr>
            </w:pPr>
          </w:p>
        </w:tc>
      </w:tr>
      <w:tr>
        <w:trPr>
          <w:trHeight w:val="189"/>
        </w:trPr>
        <w:tc>
          <w:tcPr>
            <w:tcW w:w="458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820" w:type="dxa"/>
            <w:vAlign w:val="bottom"/>
          </w:tcPr>
          <w:p>
            <w:pPr>
              <w:jc w:val="center"/>
              <w:ind w:right="690"/>
              <w:spacing w:after="0" w:line="189" w:lineRule="exact"/>
              <w:rPr>
                <w:sz w:val="20"/>
                <w:szCs w:val="20"/>
                <w:color w:val="auto"/>
              </w:rPr>
            </w:pPr>
            <w:r>
              <w:rPr>
                <w:rFonts w:ascii="Times New Roman" w:cs="Times New Roman" w:eastAsia="Times New Roman" w:hAnsi="Times New Roman"/>
                <w:sz w:val="18"/>
                <w:szCs w:val="18"/>
                <w:color w:val="auto"/>
                <w:w w:val="98"/>
              </w:rPr>
              <w:t>(Commission</w:t>
            </w:r>
          </w:p>
        </w:tc>
        <w:tc>
          <w:tcPr>
            <w:tcW w:w="276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135"/>
        </w:trPr>
        <w:tc>
          <w:tcPr>
            <w:tcW w:w="4580" w:type="dxa"/>
            <w:vAlign w:val="bottom"/>
            <w:vMerge w:val="continue"/>
          </w:tcPr>
          <w:p>
            <w:pPr>
              <w:spacing w:after="0"/>
              <w:rPr>
                <w:sz w:val="11"/>
                <w:szCs w:val="11"/>
                <w:color w:val="auto"/>
              </w:rPr>
            </w:pPr>
          </w:p>
        </w:tc>
        <w:tc>
          <w:tcPr>
            <w:tcW w:w="2820" w:type="dxa"/>
            <w:vAlign w:val="bottom"/>
            <w:vMerge w:val="restart"/>
          </w:tcPr>
          <w:p>
            <w:pPr>
              <w:jc w:val="center"/>
              <w:ind w:right="690"/>
              <w:spacing w:after="0"/>
              <w:rPr>
                <w:sz w:val="20"/>
                <w:szCs w:val="20"/>
                <w:color w:val="auto"/>
              </w:rPr>
            </w:pPr>
            <w:r>
              <w:rPr>
                <w:rFonts w:ascii="Times New Roman" w:cs="Times New Roman" w:eastAsia="Times New Roman" w:hAnsi="Times New Roman"/>
                <w:sz w:val="18"/>
                <w:szCs w:val="18"/>
                <w:color w:val="auto"/>
                <w:w w:val="98"/>
              </w:rPr>
              <w:t>File No.)</w:t>
            </w:r>
          </w:p>
        </w:tc>
        <w:tc>
          <w:tcPr>
            <w:tcW w:w="2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580" w:type="dxa"/>
            <w:vAlign w:val="bottom"/>
          </w:tcPr>
          <w:p>
            <w:pPr>
              <w:spacing w:after="0"/>
              <w:rPr>
                <w:sz w:val="8"/>
                <w:szCs w:val="8"/>
                <w:color w:val="auto"/>
              </w:rPr>
            </w:pPr>
          </w:p>
        </w:tc>
        <w:tc>
          <w:tcPr>
            <w:tcW w:w="282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5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950 N. Glebe Rd.,</w:t>
            </w:r>
          </w:p>
        </w:tc>
        <w:tc>
          <w:tcPr>
            <w:tcW w:w="28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28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Arlington, Virginia</w:t>
            </w:r>
          </w:p>
        </w:tc>
        <w:tc>
          <w:tcPr>
            <w:tcW w:w="2820" w:type="dxa"/>
            <w:vAlign w:val="bottom"/>
          </w:tcPr>
          <w:p>
            <w:pPr>
              <w:spacing w:after="0"/>
              <w:rPr>
                <w:sz w:val="20"/>
                <w:szCs w:val="20"/>
                <w:color w:val="auto"/>
              </w:rPr>
            </w:pP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22203</w:t>
            </w:r>
          </w:p>
        </w:tc>
        <w:tc>
          <w:tcPr>
            <w:tcW w:w="0" w:type="dxa"/>
            <w:vAlign w:val="bottom"/>
          </w:tcPr>
          <w:p>
            <w:pPr>
              <w:spacing w:after="0"/>
              <w:rPr>
                <w:sz w:val="1"/>
                <w:szCs w:val="1"/>
                <w:color w:val="auto"/>
              </w:rPr>
            </w:pPr>
          </w:p>
        </w:tc>
      </w:tr>
      <w:tr>
        <w:trPr>
          <w:trHeight w:val="234"/>
        </w:trPr>
        <w:tc>
          <w:tcPr>
            <w:tcW w:w="45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20" w:type="dxa"/>
            <w:vAlign w:val="bottom"/>
          </w:tcPr>
          <w:p>
            <w:pPr>
              <w:spacing w:after="0"/>
              <w:rPr>
                <w:sz w:val="20"/>
                <w:szCs w:val="20"/>
                <w:color w:val="auto"/>
              </w:rPr>
            </w:pP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346"/>
        </w:trPr>
        <w:tc>
          <w:tcPr>
            <w:tcW w:w="4580" w:type="dxa"/>
            <w:vAlign w:val="bottom"/>
          </w:tcPr>
          <w:p>
            <w:pPr>
              <w:spacing w:after="0"/>
              <w:rPr>
                <w:sz w:val="24"/>
                <w:szCs w:val="24"/>
                <w:color w:val="auto"/>
              </w:rPr>
            </w:pPr>
          </w:p>
        </w:tc>
        <w:tc>
          <w:tcPr>
            <w:tcW w:w="282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(571) 366-8850</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0" w:type="dxa"/>
            <w:vAlign w:val="bottom"/>
            <w:gridSpan w:val="2"/>
          </w:tcPr>
          <w:p>
            <w:pPr>
              <w:jc w:val="center"/>
              <w:ind w:left="33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32" w:lineRule="exact"/>
        <w:rPr>
          <w:sz w:val="24"/>
          <w:szCs w:val="24"/>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 (b)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1280" w:type="dxa"/>
            <w:vAlign w:val="bottom"/>
            <w:tcBorders>
              <w:top w:val="single" w:sz="8" w:color="auto"/>
              <w:left w:val="single" w:sz="8" w:color="auto"/>
            </w:tcBorders>
          </w:tcPr>
          <w:p>
            <w:pPr>
              <w:spacing w:after="0"/>
              <w:rPr>
                <w:sz w:val="17"/>
                <w:szCs w:val="17"/>
                <w:color w:val="auto"/>
              </w:rPr>
            </w:pPr>
          </w:p>
        </w:tc>
        <w:tc>
          <w:tcPr>
            <w:tcW w:w="2620" w:type="dxa"/>
            <w:vAlign w:val="bottom"/>
            <w:tcBorders>
              <w:top w:val="single" w:sz="8" w:color="auto"/>
              <w:right w:val="single" w:sz="8" w:color="auto"/>
            </w:tcBorders>
            <w:gridSpan w:val="2"/>
          </w:tcPr>
          <w:p>
            <w:pPr>
              <w:jc w:val="center"/>
              <w:ind w:right="12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0" w:type="dxa"/>
            <w:vAlign w:val="bottom"/>
            <w:tcBorders>
              <w:top w:val="single" w:sz="8" w:color="auto"/>
              <w:right w:val="single" w:sz="8" w:color="auto"/>
            </w:tcBorders>
            <w:gridSpan w:val="3"/>
          </w:tcPr>
          <w:p>
            <w:pPr>
              <w:jc w:val="center"/>
              <w:ind w:right="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800" w:type="dxa"/>
            <w:vAlign w:val="bottom"/>
            <w:tcBorders>
              <w:top w:val="single" w:sz="8" w:color="auto"/>
            </w:tcBorders>
          </w:tcPr>
          <w:p>
            <w:pPr>
              <w:spacing w:after="0"/>
              <w:rPr>
                <w:sz w:val="17"/>
                <w:szCs w:val="17"/>
                <w:color w:val="auto"/>
              </w:rPr>
            </w:pPr>
          </w:p>
        </w:tc>
        <w:tc>
          <w:tcPr>
            <w:tcW w:w="4160" w:type="dxa"/>
            <w:vAlign w:val="bottom"/>
            <w:tcBorders>
              <w:top w:val="single" w:sz="8" w:color="auto"/>
              <w:right w:val="single" w:sz="8" w:color="auto"/>
            </w:tcBorders>
            <w:gridSpan w:val="2"/>
          </w:tcPr>
          <w:p>
            <w:pPr>
              <w:jc w:val="center"/>
              <w:ind w:right="8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
        </w:trPr>
        <w:tc>
          <w:tcPr>
            <w:tcW w:w="128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9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46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1"/>
              </w:rPr>
              <w:t>PRVA</w:t>
            </w:r>
          </w:p>
        </w:tc>
        <w:tc>
          <w:tcPr>
            <w:tcW w:w="800" w:type="dxa"/>
            <w:vAlign w:val="bottom"/>
            <w:tcBorders>
              <w:bottom w:val="single" w:sz="8" w:color="auto"/>
            </w:tcBorders>
          </w:tcPr>
          <w:p>
            <w:pPr>
              <w:spacing w:after="0"/>
              <w:rPr>
                <w:sz w:val="19"/>
                <w:szCs w:val="19"/>
                <w:color w:val="auto"/>
              </w:rPr>
            </w:pPr>
          </w:p>
        </w:tc>
        <w:tc>
          <w:tcPr>
            <w:tcW w:w="4160" w:type="dxa"/>
            <w:vAlign w:val="bottom"/>
            <w:tcBorders>
              <w:bottom w:val="single" w:sz="8" w:color="auto"/>
              <w:right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52"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jc w:val="right"/>
        <w:ind w:right="180"/>
        <w:spacing w:after="0" w:line="207" w:lineRule="exact"/>
        <w:tabs>
          <w:tab w:leader="none" w:pos="3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4"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20, 2026, Privia Health Group, Inc. (the “Company”) held its 2026 Annual Meeting of Stockholders (the “Annual Meeting”) via live webcast. At the Annual Meeting, the Company’s stockholders approved all three proposals.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1: Election of directors.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three nominees were elected to serve as Class I directors for a term expiring at the Company’s 2029 Annual Meeting of Stockholders, or until such director's respective successor is duly elected and qualified or such director's earlier death, resignation or removal.</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84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8"/>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Nancy Cocozza</w:t>
            </w:r>
          </w:p>
        </w:tc>
        <w:tc>
          <w:tcPr>
            <w:tcW w:w="80" w:type="dxa"/>
            <w:vAlign w:val="bottom"/>
          </w:tcPr>
          <w:p>
            <w:pPr>
              <w:spacing w:after="0"/>
              <w:rPr>
                <w:sz w:val="18"/>
                <w:szCs w:val="18"/>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103,661,977</w:t>
            </w:r>
          </w:p>
        </w:tc>
        <w:tc>
          <w:tcPr>
            <w:tcW w:w="100" w:type="dxa"/>
            <w:vAlign w:val="bottom"/>
          </w:tcPr>
          <w:p>
            <w:pPr>
              <w:spacing w:after="0"/>
              <w:rPr>
                <w:sz w:val="18"/>
                <w:szCs w:val="18"/>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2,213,903</w:t>
            </w:r>
          </w:p>
        </w:tc>
        <w:tc>
          <w:tcPr>
            <w:tcW w:w="100" w:type="dxa"/>
            <w:vAlign w:val="bottom"/>
          </w:tcPr>
          <w:p>
            <w:pPr>
              <w:spacing w:after="0"/>
              <w:rPr>
                <w:sz w:val="18"/>
                <w:szCs w:val="18"/>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11,549,510</w:t>
            </w: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King</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99,267,027</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6,608,853</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11,549,510</w:t>
            </w:r>
          </w:p>
        </w:tc>
      </w:tr>
      <w:tr>
        <w:trPr>
          <w:trHeight w:val="23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Francis Soistman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105,602,389</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273,491</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11,549,510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 Approval, on an advisory (non-binding) basis, of the compensation of our named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basis, the compensation of our named executive officers.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103,956,500</w:t>
            </w:r>
          </w:p>
        </w:tc>
        <w:tc>
          <w:tcPr>
            <w:tcW w:w="8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1,813,934</w:t>
            </w:r>
          </w:p>
        </w:tc>
        <w:tc>
          <w:tcPr>
            <w:tcW w:w="100" w:type="dxa"/>
            <w:vAlign w:val="bottom"/>
          </w:tcPr>
          <w:p>
            <w:pPr>
              <w:spacing w:after="0"/>
              <w:rPr>
                <w:sz w:val="19"/>
                <w:szCs w:val="19"/>
                <w:color w:val="auto"/>
              </w:rPr>
            </w:pPr>
          </w:p>
        </w:tc>
        <w:tc>
          <w:tcPr>
            <w:tcW w:w="27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105,446</w:t>
            </w:r>
          </w:p>
        </w:tc>
        <w:tc>
          <w:tcPr>
            <w:tcW w:w="100" w:type="dxa"/>
            <w:vAlign w:val="bottom"/>
          </w:tcPr>
          <w:p>
            <w:pPr>
              <w:spacing w:after="0"/>
              <w:rPr>
                <w:sz w:val="19"/>
                <w:szCs w:val="19"/>
                <w:color w:val="auto"/>
              </w:rPr>
            </w:pPr>
          </w:p>
        </w:tc>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11,549,510</w:t>
            </w:r>
          </w:p>
        </w:tc>
      </w:tr>
    </w:tbl>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 Ratification of the appointment of PricewaterhouseCoopers LLP as the Company’s independent registered public accounting firm for the fiscal year ending December 31, 2026.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appointment of PricewaterhouseCoopers LLP was ratified.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7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117,343,159</w:t>
            </w:r>
          </w:p>
        </w:tc>
        <w:tc>
          <w:tcPr>
            <w:tcW w:w="80" w:type="dxa"/>
            <w:vAlign w:val="bottom"/>
          </w:tcPr>
          <w:p>
            <w:pPr>
              <w:spacing w:after="0"/>
              <w:rPr>
                <w:sz w:val="19"/>
                <w:szCs w:val="19"/>
                <w:color w:val="auto"/>
              </w:rPr>
            </w:pPr>
          </w:p>
        </w:tc>
        <w:tc>
          <w:tcPr>
            <w:tcW w:w="2740" w:type="dxa"/>
            <w:vAlign w:val="bottom"/>
            <w:tcBorders>
              <w:top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73,653</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852"/>
        </w:trPr>
        <w:tc>
          <w:tcPr>
            <w:tcW w:w="2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PRIVIA HEALTH GROUP, INC.</w:t>
      </w:r>
    </w:p>
    <w:p>
      <w:pPr>
        <w:spacing w:after="0" w:line="117" w:lineRule="exact"/>
        <w:rPr>
          <w:sz w:val="20"/>
          <w:szCs w:val="20"/>
          <w:color w:val="auto"/>
        </w:rPr>
      </w:pPr>
    </w:p>
    <w:p>
      <w:pPr>
        <w:ind w:left="20"/>
        <w:spacing w:after="0"/>
        <w:tabs>
          <w:tab w:leader="none" w:pos="5280" w:val="left"/>
          <w:tab w:leader="none" w:pos="586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Mountcastle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9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Mountcastle</w:t>
      </w:r>
    </w:p>
    <w:p>
      <w:pPr>
        <w:spacing w:after="0" w:line="1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Executive Vice President, Chief Financial Officer and Authorized</w:t>
      </w:r>
    </w:p>
    <w:p>
      <w:pPr>
        <w:ind w:left="588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2026-05-22T07:02:34Z</dcterms:created>
  <dcterms:modified xsi:type="dcterms:W3CDTF">2026-05-22T07:02:34Z</dcterms:modified>
</cp:coreProperties>
</file>